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2E392D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7F537F">
        <w:rPr>
          <w:rFonts w:ascii="Times New Roman" w:hAnsi="Times New Roman" w:cs="Times New Roman"/>
          <w:sz w:val="25"/>
          <w:szCs w:val="25"/>
        </w:rPr>
        <w:t xml:space="preserve">Белореченский </w:t>
      </w:r>
      <w:r>
        <w:rPr>
          <w:rFonts w:ascii="Times New Roman" w:hAnsi="Times New Roman" w:cs="Times New Roman"/>
          <w:sz w:val="25"/>
          <w:szCs w:val="25"/>
        </w:rPr>
        <w:t xml:space="preserve">муниципальный   </w:t>
      </w:r>
    </w:p>
    <w:p w:rsidR="007F537F" w:rsidRDefault="002E392D" w:rsidP="002E392D">
      <w:pPr>
        <w:pStyle w:val="a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р</w:t>
      </w:r>
      <w:r w:rsidR="007F537F">
        <w:rPr>
          <w:rFonts w:ascii="Times New Roman" w:hAnsi="Times New Roman" w:cs="Times New Roman"/>
          <w:sz w:val="25"/>
          <w:szCs w:val="25"/>
        </w:rPr>
        <w:t>айон</w:t>
      </w:r>
      <w:r>
        <w:rPr>
          <w:rFonts w:ascii="Times New Roman" w:hAnsi="Times New Roman" w:cs="Times New Roman"/>
          <w:sz w:val="25"/>
          <w:szCs w:val="25"/>
        </w:rPr>
        <w:t xml:space="preserve"> Краснодарского края</w:t>
      </w:r>
    </w:p>
    <w:p w:rsidR="007F537F" w:rsidRDefault="002E392D" w:rsidP="002E392D">
      <w:pPr>
        <w:pStyle w:val="a9"/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</w:t>
      </w:r>
      <w:r w:rsidR="00571C00" w:rsidRPr="00571C00">
        <w:rPr>
          <w:rFonts w:ascii="Times New Roman" w:hAnsi="Times New Roman" w:cs="Times New Roman"/>
          <w:sz w:val="25"/>
          <w:szCs w:val="25"/>
        </w:rPr>
        <w:t>от 25.12.2025 № 14</w:t>
      </w:r>
      <w:r w:rsidR="007F537F" w:rsidRPr="00571C00">
        <w:rPr>
          <w:rFonts w:ascii="Times New Roman" w:hAnsi="Times New Roman" w:cs="Times New Roman"/>
          <w:sz w:val="25"/>
          <w:szCs w:val="25"/>
        </w:rPr>
        <w:t>-од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Муниципальное образование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 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Контрольно-счетная палата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Положение о контрольно-счетной палате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Регламент контрольно-счетной палаты муниципального образования Белореченский </w:t>
      </w:r>
      <w:r w:rsidR="00571C00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hAnsi="Times New Roman" w:cs="Times New Roman"/>
          <w:sz w:val="24"/>
          <w:szCs w:val="24"/>
        </w:rPr>
        <w:t>район</w:t>
      </w:r>
      <w:r w:rsidR="00571C00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Главный администратор бюджетных средств муниципального образования Белореченский </w:t>
      </w:r>
      <w:r w:rsidR="00571C00">
        <w:rPr>
          <w:rFonts w:ascii="Times New Roman" w:eastAsia="Calibri" w:hAnsi="Times New Roman" w:cs="Times New Roman"/>
          <w:sz w:val="24"/>
          <w:szCs w:val="24"/>
        </w:rPr>
        <w:t xml:space="preserve">муниципальный </w:t>
      </w:r>
      <w:r w:rsidRPr="002070CA">
        <w:rPr>
          <w:rFonts w:ascii="Times New Roman" w:eastAsia="Calibri" w:hAnsi="Times New Roman" w:cs="Times New Roman"/>
          <w:sz w:val="24"/>
          <w:szCs w:val="24"/>
        </w:rPr>
        <w:t>район</w:t>
      </w:r>
      <w:r w:rsidR="00571C00">
        <w:rPr>
          <w:rFonts w:ascii="Times New Roman" w:eastAsia="Calibri" w:hAnsi="Times New Roman" w:cs="Times New Roman"/>
          <w:sz w:val="24"/>
          <w:szCs w:val="24"/>
        </w:rPr>
        <w:t xml:space="preserve"> Краснодарского края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4A107A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1F1597">
        <w:rPr>
          <w:rFonts w:ascii="Times New Roman" w:hAnsi="Times New Roman" w:cs="Times New Roman"/>
          <w:b/>
          <w:bCs/>
          <w:sz w:val="25"/>
          <w:szCs w:val="25"/>
        </w:rPr>
        <w:t xml:space="preserve">ания </w:t>
      </w:r>
      <w:r w:rsidR="001F1597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Белореченский </w:t>
      </w:r>
      <w:r w:rsidR="00571C00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муниципальный </w:t>
      </w:r>
      <w:r w:rsidR="001F1597" w:rsidRPr="00571C00">
        <w:rPr>
          <w:rFonts w:ascii="Times New Roman" w:hAnsi="Times New Roman" w:cs="Times New Roman"/>
          <w:b/>
          <w:bCs/>
          <w:sz w:val="25"/>
          <w:szCs w:val="25"/>
        </w:rPr>
        <w:t>район</w:t>
      </w:r>
      <w:r w:rsidR="00571C00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 Краснодарского края</w:t>
      </w:r>
      <w:r w:rsidR="001F1597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 на 202</w:t>
      </w:r>
      <w:r w:rsidR="00446DC4" w:rsidRPr="00571C00">
        <w:rPr>
          <w:rFonts w:ascii="Times New Roman" w:hAnsi="Times New Roman" w:cs="Times New Roman"/>
          <w:b/>
          <w:bCs/>
          <w:sz w:val="25"/>
          <w:szCs w:val="25"/>
        </w:rPr>
        <w:t>6</w:t>
      </w:r>
      <w:r w:rsidR="00CE031E" w:rsidRPr="00571C00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824B1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 xml:space="preserve">ания Белореченский муниципальный 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Краснодарского края за 2025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Белореченского 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C00">
              <w:rPr>
                <w:rFonts w:ascii="Times New Roman" w:hAnsi="Times New Roman" w:cs="Times New Roman"/>
                <w:sz w:val="24"/>
                <w:szCs w:val="24"/>
              </w:rPr>
              <w:t>за 2025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630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2A72B4" w:rsidRDefault="002A72B4" w:rsidP="002A7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 вопросам: </w:t>
            </w:r>
          </w:p>
          <w:p w:rsidR="002A72B4" w:rsidRDefault="002A72B4" w:rsidP="002A7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аудита мероприятий по  созданию в 2018-2025 годах новых мест в дошкольных образовательных организациях муниципального образования Белореченский муниципальный район Краснодарского края; </w:t>
            </w:r>
          </w:p>
          <w:p w:rsidR="007F537F" w:rsidRPr="00446DC4" w:rsidRDefault="002A72B4" w:rsidP="002A7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Расходование субсидии по обеспечению отдыха детей в каникулярное время в профильных лагерях в 2023-2025 годах (при необходимости в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2B4" w:rsidRPr="00C26CE7" w:rsidRDefault="002A72B4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март-сентябрь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253D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7F537F" w:rsidRPr="00C26CE7" w:rsidTr="003A3B06">
        <w:trPr>
          <w:trHeight w:val="1549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A57623" w:rsidP="001253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3D2">
              <w:rPr>
                <w:rFonts w:ascii="Times New Roman" w:hAnsi="Times New Roman" w:cs="Times New Roman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FA0592" w:rsidRDefault="001253D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  <w:p w:rsidR="007F537F" w:rsidRPr="00C26CE7" w:rsidRDefault="007F537F" w:rsidP="001253D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FA0592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2EA">
              <w:rPr>
                <w:rFonts w:ascii="Times New Roman" w:hAnsi="Times New Roman" w:cs="Times New Roman"/>
                <w:sz w:val="24"/>
                <w:szCs w:val="24"/>
              </w:rPr>
              <w:t xml:space="preserve">ст.18 Закона № 6-ФЗ;  </w:t>
            </w:r>
          </w:p>
          <w:p w:rsidR="007F537F" w:rsidRPr="00C26CE7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0A32EA" w:rsidP="00F54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A32EA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2EA">
              <w:rPr>
                <w:rFonts w:ascii="Times New Roman" w:hAnsi="Times New Roman" w:cs="Times New Roman"/>
                <w:sz w:val="24"/>
                <w:szCs w:val="24"/>
              </w:rPr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B306F" w:rsidRPr="00C26CE7" w:rsidRDefault="000A32EA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5226FF" w:rsidP="008F29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Администрации Великовечненского сельского поселения Белореченского муниципального района Краснодарского края по вопросу «</w:t>
            </w:r>
            <w:r w:rsidR="005859EA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по адресу, Краснодарский край, Белореченский муниципальный район Краснодарского края,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Великовечное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Почтовая 59, ул. Почтовая 44Б»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5226FF" w:rsidP="008F294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294C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29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F537F"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 xml:space="preserve"> 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5859EA" w:rsidP="00F346A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Администрации Рязанского сельского поселения Белореченского муниципального района Краснодарского края по вопросу «Благоустройство общественной территории  по адресу, Краснодарский край, Белореченский муниципальный район Краснодарского края,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Первомайская, ул. Первомайская 106/1, 1,2 этап»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38CA" w:rsidRPr="00522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 w:rsidRPr="0066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030C23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030C23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 район за 202</w:t>
            </w:r>
            <w:r w:rsidR="00585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644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4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Белореченского городского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</w:t>
            </w:r>
            <w:r w:rsidRPr="00450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ч. </w:t>
            </w:r>
            <w:r w:rsidR="00947E41" w:rsidRPr="004509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4854D6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3A3B06">
        <w:trPr>
          <w:trHeight w:val="8006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4854D6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4019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Родниковского сельского 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лнения бюджета муниципального образования Белореченский 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Белореченский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54D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Белореченский 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54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4854D6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 xml:space="preserve">, п. 1.2. соглашения о 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4854D6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DC045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DC045D" w:rsidRDefault="00DC045D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DC045D" w:rsidRPr="006221EF" w:rsidRDefault="00DC045D" w:rsidP="002F6B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DC045D" w:rsidRPr="006221EF" w:rsidRDefault="00DC045D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DC045D" w:rsidRPr="003423D1" w:rsidRDefault="00DC045D" w:rsidP="002F6B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71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5553F"/>
    <w:rsid w:val="00072DA2"/>
    <w:rsid w:val="000733E7"/>
    <w:rsid w:val="00074FD7"/>
    <w:rsid w:val="00092C85"/>
    <w:rsid w:val="00097E31"/>
    <w:rsid w:val="000A32EA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253D2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1597"/>
    <w:rsid w:val="001F76F4"/>
    <w:rsid w:val="002003F4"/>
    <w:rsid w:val="0020201D"/>
    <w:rsid w:val="0020541E"/>
    <w:rsid w:val="00207135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A72B4"/>
    <w:rsid w:val="002B693D"/>
    <w:rsid w:val="002B6E9B"/>
    <w:rsid w:val="002C426D"/>
    <w:rsid w:val="002C5C5D"/>
    <w:rsid w:val="002E392D"/>
    <w:rsid w:val="002F61EF"/>
    <w:rsid w:val="002F6BA6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3B06"/>
    <w:rsid w:val="003A663C"/>
    <w:rsid w:val="003B1719"/>
    <w:rsid w:val="003B18B2"/>
    <w:rsid w:val="003B190A"/>
    <w:rsid w:val="003B4498"/>
    <w:rsid w:val="003B5238"/>
    <w:rsid w:val="003B598A"/>
    <w:rsid w:val="003C24B8"/>
    <w:rsid w:val="003D62C0"/>
    <w:rsid w:val="003E0933"/>
    <w:rsid w:val="003E57C6"/>
    <w:rsid w:val="004019AF"/>
    <w:rsid w:val="00404A28"/>
    <w:rsid w:val="00405C84"/>
    <w:rsid w:val="00415ABF"/>
    <w:rsid w:val="004217A3"/>
    <w:rsid w:val="00421E2A"/>
    <w:rsid w:val="00425489"/>
    <w:rsid w:val="00446DC4"/>
    <w:rsid w:val="0045090A"/>
    <w:rsid w:val="00452726"/>
    <w:rsid w:val="0045285E"/>
    <w:rsid w:val="00453100"/>
    <w:rsid w:val="004535AA"/>
    <w:rsid w:val="00457DD8"/>
    <w:rsid w:val="00462855"/>
    <w:rsid w:val="00477BC7"/>
    <w:rsid w:val="00484C20"/>
    <w:rsid w:val="004854D6"/>
    <w:rsid w:val="00491823"/>
    <w:rsid w:val="004A107A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226FF"/>
    <w:rsid w:val="00532679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71C00"/>
    <w:rsid w:val="005859EA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1E25"/>
    <w:rsid w:val="006C457B"/>
    <w:rsid w:val="006D1C35"/>
    <w:rsid w:val="006D58E5"/>
    <w:rsid w:val="006E32A1"/>
    <w:rsid w:val="006E36FB"/>
    <w:rsid w:val="006E6C70"/>
    <w:rsid w:val="006E712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4D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E5E9B"/>
    <w:rsid w:val="007F537F"/>
    <w:rsid w:val="007F655B"/>
    <w:rsid w:val="007F6E87"/>
    <w:rsid w:val="00824B16"/>
    <w:rsid w:val="0082729F"/>
    <w:rsid w:val="0083099D"/>
    <w:rsid w:val="00830ED8"/>
    <w:rsid w:val="00855D98"/>
    <w:rsid w:val="0086351B"/>
    <w:rsid w:val="00870B8F"/>
    <w:rsid w:val="0088212F"/>
    <w:rsid w:val="00884C6A"/>
    <w:rsid w:val="0089122E"/>
    <w:rsid w:val="008A55A4"/>
    <w:rsid w:val="008A7DAD"/>
    <w:rsid w:val="008B2FF6"/>
    <w:rsid w:val="008B30D1"/>
    <w:rsid w:val="008C1E33"/>
    <w:rsid w:val="008C2DCF"/>
    <w:rsid w:val="008E06D2"/>
    <w:rsid w:val="008F0403"/>
    <w:rsid w:val="008F2346"/>
    <w:rsid w:val="008F294C"/>
    <w:rsid w:val="008F3777"/>
    <w:rsid w:val="008F68F0"/>
    <w:rsid w:val="009038D2"/>
    <w:rsid w:val="00915C4D"/>
    <w:rsid w:val="00936186"/>
    <w:rsid w:val="0094324C"/>
    <w:rsid w:val="00947E41"/>
    <w:rsid w:val="00953483"/>
    <w:rsid w:val="00954D70"/>
    <w:rsid w:val="00956CBE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4A30"/>
    <w:rsid w:val="009A5376"/>
    <w:rsid w:val="009B0E87"/>
    <w:rsid w:val="009B281F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17CF0"/>
    <w:rsid w:val="00A277CF"/>
    <w:rsid w:val="00A3082D"/>
    <w:rsid w:val="00A33BAE"/>
    <w:rsid w:val="00A551BE"/>
    <w:rsid w:val="00A57623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21936"/>
    <w:rsid w:val="00B40434"/>
    <w:rsid w:val="00B434CB"/>
    <w:rsid w:val="00B44DE6"/>
    <w:rsid w:val="00B45388"/>
    <w:rsid w:val="00B4724D"/>
    <w:rsid w:val="00B55BEC"/>
    <w:rsid w:val="00B5718C"/>
    <w:rsid w:val="00B63AFF"/>
    <w:rsid w:val="00B72059"/>
    <w:rsid w:val="00B81AC5"/>
    <w:rsid w:val="00B8705B"/>
    <w:rsid w:val="00B93EF7"/>
    <w:rsid w:val="00B96F9E"/>
    <w:rsid w:val="00BB2763"/>
    <w:rsid w:val="00BC5ACE"/>
    <w:rsid w:val="00BE007F"/>
    <w:rsid w:val="00BF1B70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354A9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045D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B4A74"/>
    <w:rsid w:val="00EC0916"/>
    <w:rsid w:val="00EC4286"/>
    <w:rsid w:val="00ED0EF0"/>
    <w:rsid w:val="00EE2968"/>
    <w:rsid w:val="00EF5264"/>
    <w:rsid w:val="00F106CD"/>
    <w:rsid w:val="00F12050"/>
    <w:rsid w:val="00F1390D"/>
    <w:rsid w:val="00F26D0F"/>
    <w:rsid w:val="00F346A6"/>
    <w:rsid w:val="00F35E9E"/>
    <w:rsid w:val="00F50825"/>
    <w:rsid w:val="00F53954"/>
    <w:rsid w:val="00F5475D"/>
    <w:rsid w:val="00F551B1"/>
    <w:rsid w:val="00F673D0"/>
    <w:rsid w:val="00F73FD2"/>
    <w:rsid w:val="00F742ED"/>
    <w:rsid w:val="00F846F5"/>
    <w:rsid w:val="00F87BDC"/>
    <w:rsid w:val="00F95714"/>
    <w:rsid w:val="00FA0592"/>
    <w:rsid w:val="00FA4F6A"/>
    <w:rsid w:val="00FA6036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B84A-E056-4283-8853-8652C0A0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8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359</cp:revision>
  <cp:lastPrinted>2024-12-24T09:30:00Z</cp:lastPrinted>
  <dcterms:created xsi:type="dcterms:W3CDTF">2012-02-28T07:58:00Z</dcterms:created>
  <dcterms:modified xsi:type="dcterms:W3CDTF">2026-03-16T13:25:00Z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