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392" w:rsidRDefault="00F37392">
      <w:pPr>
        <w:pStyle w:val="ConsPlusNormal"/>
        <w:jc w:val="both"/>
        <w:outlineLvl w:val="0"/>
      </w:pPr>
    </w:p>
    <w:p w:rsidR="00F37392" w:rsidRDefault="00F37392">
      <w:pPr>
        <w:pStyle w:val="ConsPlusNormal"/>
        <w:jc w:val="right"/>
        <w:outlineLvl w:val="0"/>
      </w:pPr>
      <w:r>
        <w:t>Приложение 5</w:t>
      </w:r>
    </w:p>
    <w:p w:rsidR="00F37392" w:rsidRDefault="00F37392">
      <w:pPr>
        <w:pStyle w:val="ConsPlusNormal"/>
        <w:jc w:val="right"/>
      </w:pPr>
      <w:r>
        <w:t>к адресной программе</w:t>
      </w:r>
    </w:p>
    <w:p w:rsidR="00F37392" w:rsidRDefault="00F37392">
      <w:pPr>
        <w:pStyle w:val="ConsPlusNormal"/>
        <w:jc w:val="right"/>
      </w:pPr>
      <w:r>
        <w:t>Краснодарского края</w:t>
      </w:r>
    </w:p>
    <w:p w:rsidR="00F37392" w:rsidRDefault="00F37392">
      <w:pPr>
        <w:pStyle w:val="ConsPlusNormal"/>
        <w:jc w:val="right"/>
      </w:pPr>
      <w:r>
        <w:t>"Переселение граждан из</w:t>
      </w:r>
    </w:p>
    <w:p w:rsidR="00F37392" w:rsidRDefault="00F37392">
      <w:pPr>
        <w:pStyle w:val="ConsPlusNormal"/>
        <w:jc w:val="right"/>
      </w:pPr>
      <w:r>
        <w:t>аварийного жилищного фонда</w:t>
      </w:r>
    </w:p>
    <w:p w:rsidR="00F37392" w:rsidRDefault="00F37392">
      <w:pPr>
        <w:pStyle w:val="ConsPlusNormal"/>
        <w:jc w:val="right"/>
      </w:pPr>
      <w:r>
        <w:t>на 2019 - 2023 годы"</w:t>
      </w:r>
    </w:p>
    <w:p w:rsidR="00F37392" w:rsidRDefault="00F37392">
      <w:pPr>
        <w:pStyle w:val="ConsPlusNormal"/>
        <w:jc w:val="both"/>
      </w:pPr>
    </w:p>
    <w:p w:rsidR="00F37392" w:rsidRDefault="00F37392">
      <w:pPr>
        <w:pStyle w:val="ConsPlusTitle"/>
        <w:jc w:val="center"/>
      </w:pPr>
      <w:r>
        <w:t>ПЕРЕЧЕНЬ</w:t>
      </w:r>
    </w:p>
    <w:p w:rsidR="00F37392" w:rsidRDefault="00F37392">
      <w:pPr>
        <w:pStyle w:val="ConsPlusTitle"/>
        <w:jc w:val="center"/>
      </w:pPr>
      <w:r>
        <w:t>РЕКОМЕНДУЕМЫХ ТРЕБОВАНИЙ, КОТОРЫМ ДОЛЖНЫ</w:t>
      </w:r>
    </w:p>
    <w:p w:rsidR="00F37392" w:rsidRDefault="00F37392">
      <w:pPr>
        <w:pStyle w:val="ConsPlusTitle"/>
        <w:jc w:val="center"/>
      </w:pPr>
      <w:r>
        <w:t>СООТВЕТСТВОВАТЬ ЖИЛЫЕ ПОМЕЩЕНИЯ, ПРИОБРЕТАЕМЫЕ ОРГАНАМИ</w:t>
      </w:r>
    </w:p>
    <w:p w:rsidR="00F37392" w:rsidRDefault="00F37392">
      <w:pPr>
        <w:pStyle w:val="ConsPlusTitle"/>
        <w:jc w:val="center"/>
      </w:pPr>
      <w:r>
        <w:t>МЕСТНОГО САМОУПРАВЛЕНИЯ МУНИЦИПАЛЬНЫХ ОБРАЗОВАНИЙ</w:t>
      </w:r>
    </w:p>
    <w:p w:rsidR="00F37392" w:rsidRDefault="00F37392">
      <w:pPr>
        <w:pStyle w:val="ConsPlusTitle"/>
        <w:jc w:val="center"/>
      </w:pPr>
      <w:r>
        <w:t>КРАСНОДАРСКОГО КРАЯ - УЧАСТНИКОВ АДРЕСНОЙ ПРОГРАММЫ</w:t>
      </w:r>
    </w:p>
    <w:p w:rsidR="00F37392" w:rsidRDefault="00F37392">
      <w:pPr>
        <w:pStyle w:val="ConsPlusTitle"/>
        <w:jc w:val="center"/>
      </w:pPr>
      <w:r>
        <w:t>КРАСНОДАРСКОГО КРАЯ "ПЕРЕСЕЛЕНИЕ ГРАЖДАН ИЗ АВАРИЙНОГО</w:t>
      </w:r>
    </w:p>
    <w:p w:rsidR="00F37392" w:rsidRDefault="00F37392">
      <w:pPr>
        <w:pStyle w:val="ConsPlusTitle"/>
        <w:jc w:val="center"/>
      </w:pPr>
      <w:r>
        <w:t>ЖИЛИЩНОГО ФОНДА НА 2019 - 2023 ГОДЫ" У ЗАСТРОЙЩИКОВ</w:t>
      </w:r>
    </w:p>
    <w:p w:rsidR="00F37392" w:rsidRDefault="00F37392">
      <w:pPr>
        <w:pStyle w:val="ConsPlusTitle"/>
        <w:jc w:val="center"/>
      </w:pPr>
      <w:r>
        <w:t>СТРОЯЩИХСЯ ИЛИ ВВЕДЕННЫХ В ЭКСПЛУАТАЦИЮ МНОГОКВАРТИРНЫХ</w:t>
      </w:r>
    </w:p>
    <w:p w:rsidR="00F37392" w:rsidRDefault="00F37392">
      <w:pPr>
        <w:pStyle w:val="ConsPlusTitle"/>
        <w:jc w:val="center"/>
      </w:pPr>
      <w:r>
        <w:t>ДОМОВ ИЛИ ЖИЛЫХ ДОМОВ БЛОКИРОВАННОЙ ЗАСТРОЙКИ</w:t>
      </w:r>
    </w:p>
    <w:p w:rsidR="00F37392" w:rsidRDefault="00F3739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373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37392" w:rsidRDefault="00F37392"/>
        </w:tc>
        <w:tc>
          <w:tcPr>
            <w:tcW w:w="113" w:type="dxa"/>
            <w:tcBorders>
              <w:top w:val="nil"/>
              <w:left w:val="nil"/>
              <w:bottom w:val="nil"/>
              <w:right w:val="nil"/>
            </w:tcBorders>
            <w:shd w:val="clear" w:color="auto" w:fill="F4F3F8"/>
            <w:tcMar>
              <w:top w:w="0" w:type="dxa"/>
              <w:left w:w="0" w:type="dxa"/>
              <w:bottom w:w="0" w:type="dxa"/>
              <w:right w:w="0" w:type="dxa"/>
            </w:tcMar>
          </w:tcPr>
          <w:p w:rsidR="00F37392" w:rsidRDefault="00F37392"/>
        </w:tc>
        <w:tc>
          <w:tcPr>
            <w:tcW w:w="0" w:type="auto"/>
            <w:tcBorders>
              <w:top w:val="nil"/>
              <w:left w:val="nil"/>
              <w:bottom w:val="nil"/>
              <w:right w:val="nil"/>
            </w:tcBorders>
            <w:shd w:val="clear" w:color="auto" w:fill="F4F3F8"/>
            <w:tcMar>
              <w:top w:w="113" w:type="dxa"/>
              <w:left w:w="0" w:type="dxa"/>
              <w:bottom w:w="113" w:type="dxa"/>
              <w:right w:w="0" w:type="dxa"/>
            </w:tcMar>
          </w:tcPr>
          <w:p w:rsidR="00F37392" w:rsidRDefault="00F37392">
            <w:pPr>
              <w:pStyle w:val="ConsPlusNormal"/>
              <w:jc w:val="center"/>
            </w:pPr>
            <w:r>
              <w:rPr>
                <w:color w:val="392C69"/>
              </w:rPr>
              <w:t>Список изменяющих документов</w:t>
            </w:r>
          </w:p>
          <w:p w:rsidR="00F37392" w:rsidRDefault="00F37392">
            <w:pPr>
              <w:pStyle w:val="ConsPlusNormal"/>
              <w:jc w:val="center"/>
            </w:pPr>
            <w:r>
              <w:rPr>
                <w:color w:val="392C69"/>
              </w:rPr>
              <w:t xml:space="preserve">(в ред. </w:t>
            </w:r>
            <w:hyperlink r:id="rId4" w:history="1">
              <w:r>
                <w:rPr>
                  <w:color w:val="0000FF"/>
                </w:rPr>
                <w:t>Постановления</w:t>
              </w:r>
            </w:hyperlink>
            <w:r>
              <w:rPr>
                <w:color w:val="392C69"/>
              </w:rPr>
              <w:t xml:space="preserve"> главы администрации (губернатора) Краснодарского края</w:t>
            </w:r>
          </w:p>
          <w:p w:rsidR="00F37392" w:rsidRDefault="00F37392">
            <w:pPr>
              <w:pStyle w:val="ConsPlusNormal"/>
              <w:jc w:val="center"/>
            </w:pPr>
            <w:r>
              <w:rPr>
                <w:color w:val="392C69"/>
              </w:rPr>
              <w:t>от 30.03.2021 N 180)</w:t>
            </w:r>
          </w:p>
        </w:tc>
        <w:tc>
          <w:tcPr>
            <w:tcW w:w="113" w:type="dxa"/>
            <w:tcBorders>
              <w:top w:val="nil"/>
              <w:left w:val="nil"/>
              <w:bottom w:val="nil"/>
              <w:right w:val="nil"/>
            </w:tcBorders>
            <w:shd w:val="clear" w:color="auto" w:fill="F4F3F8"/>
            <w:tcMar>
              <w:top w:w="0" w:type="dxa"/>
              <w:left w:w="0" w:type="dxa"/>
              <w:bottom w:w="0" w:type="dxa"/>
              <w:right w:w="0" w:type="dxa"/>
            </w:tcMar>
          </w:tcPr>
          <w:p w:rsidR="00F37392" w:rsidRDefault="00F37392"/>
        </w:tc>
      </w:tr>
    </w:tbl>
    <w:p w:rsidR="00F37392" w:rsidRDefault="00F3739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2041"/>
        <w:gridCol w:w="6406"/>
      </w:tblGrid>
      <w:tr w:rsidR="00F37392">
        <w:tc>
          <w:tcPr>
            <w:tcW w:w="614" w:type="dxa"/>
          </w:tcPr>
          <w:p w:rsidR="00F37392" w:rsidRDefault="00F37392">
            <w:pPr>
              <w:pStyle w:val="ConsPlusNormal"/>
              <w:jc w:val="center"/>
            </w:pPr>
            <w:r>
              <w:t>N п/п</w:t>
            </w:r>
          </w:p>
        </w:tc>
        <w:tc>
          <w:tcPr>
            <w:tcW w:w="2041" w:type="dxa"/>
          </w:tcPr>
          <w:p w:rsidR="00F37392" w:rsidRDefault="00F37392">
            <w:pPr>
              <w:pStyle w:val="ConsPlusNormal"/>
              <w:jc w:val="center"/>
            </w:pPr>
            <w:r>
              <w:t>Наименование объекта, к которому предъявляются рекомендуемые требования</w:t>
            </w:r>
          </w:p>
        </w:tc>
        <w:tc>
          <w:tcPr>
            <w:tcW w:w="6406" w:type="dxa"/>
          </w:tcPr>
          <w:p w:rsidR="00F37392" w:rsidRDefault="00F37392">
            <w:pPr>
              <w:pStyle w:val="ConsPlusNormal"/>
              <w:jc w:val="center"/>
            </w:pPr>
            <w:r>
              <w:t>Содержание рекомендуемых требований</w:t>
            </w:r>
          </w:p>
        </w:tc>
      </w:tr>
      <w:tr w:rsidR="00F37392">
        <w:tblPrEx>
          <w:tblBorders>
            <w:insideH w:val="nil"/>
          </w:tblBorders>
        </w:tblPrEx>
        <w:tc>
          <w:tcPr>
            <w:tcW w:w="614" w:type="dxa"/>
            <w:tcBorders>
              <w:bottom w:val="nil"/>
            </w:tcBorders>
          </w:tcPr>
          <w:p w:rsidR="00F37392" w:rsidRDefault="00F37392">
            <w:pPr>
              <w:pStyle w:val="ConsPlusNormal"/>
              <w:jc w:val="center"/>
            </w:pPr>
            <w:r>
              <w:t>1</w:t>
            </w:r>
          </w:p>
        </w:tc>
        <w:tc>
          <w:tcPr>
            <w:tcW w:w="2041" w:type="dxa"/>
            <w:tcBorders>
              <w:bottom w:val="nil"/>
            </w:tcBorders>
          </w:tcPr>
          <w:p w:rsidR="00F37392" w:rsidRDefault="00F37392">
            <w:pPr>
              <w:pStyle w:val="ConsPlusNormal"/>
            </w:pPr>
            <w:r>
              <w:t>Проектная документация</w:t>
            </w:r>
          </w:p>
        </w:tc>
        <w:tc>
          <w:tcPr>
            <w:tcW w:w="6406" w:type="dxa"/>
            <w:tcBorders>
              <w:bottom w:val="nil"/>
            </w:tcBorders>
          </w:tcPr>
          <w:p w:rsidR="00F37392" w:rsidRDefault="00F37392">
            <w:pPr>
              <w:pStyle w:val="ConsPlusNormal"/>
              <w:ind w:firstLine="283"/>
              <w:jc w:val="both"/>
            </w:pPr>
            <w: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F37392" w:rsidRDefault="00F37392">
            <w:pPr>
              <w:pStyle w:val="ConsPlusNormal"/>
              <w:ind w:firstLine="283"/>
              <w:jc w:val="both"/>
            </w:pPr>
            <w:r>
              <w:t>Проектную документацию рекомендуется разрабатывать в соответствии с требованиями:</w:t>
            </w:r>
          </w:p>
          <w:p w:rsidR="00F37392" w:rsidRDefault="00F37392">
            <w:pPr>
              <w:pStyle w:val="ConsPlusNormal"/>
              <w:ind w:firstLine="283"/>
              <w:jc w:val="both"/>
            </w:pPr>
            <w:r>
              <w:t xml:space="preserve">Федерального </w:t>
            </w:r>
            <w:hyperlink r:id="rId5" w:history="1">
              <w:r>
                <w:rPr>
                  <w:color w:val="0000FF"/>
                </w:rPr>
                <w:t>закона</w:t>
              </w:r>
            </w:hyperlink>
            <w:r>
              <w:t xml:space="preserve"> от 30 декабря 2009 г. N 384-ФЗ "Технический регламент о безопасности зданий и сооружений";</w:t>
            </w:r>
          </w:p>
          <w:p w:rsidR="00F37392" w:rsidRDefault="00F37392">
            <w:pPr>
              <w:pStyle w:val="ConsPlusNormal"/>
              <w:ind w:firstLine="283"/>
              <w:jc w:val="both"/>
            </w:pPr>
            <w:r>
              <w:t xml:space="preserve">Федерального </w:t>
            </w:r>
            <w:hyperlink r:id="rId6" w:history="1">
              <w:r>
                <w:rPr>
                  <w:color w:val="0000FF"/>
                </w:rPr>
                <w:t>закона</w:t>
              </w:r>
            </w:hyperlink>
            <w:r>
              <w:t xml:space="preserve"> от 22 июля 2008 г. N 123-ФЗ "Технический регламент о требованиях пожарной безопасности";</w:t>
            </w:r>
          </w:p>
          <w:p w:rsidR="00F37392" w:rsidRDefault="00F37392">
            <w:pPr>
              <w:pStyle w:val="ConsPlusNormal"/>
              <w:ind w:firstLine="283"/>
              <w:jc w:val="both"/>
            </w:pPr>
            <w:hyperlink r:id="rId7" w:history="1">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F37392" w:rsidRDefault="00F37392">
            <w:pPr>
              <w:pStyle w:val="ConsPlusNormal"/>
              <w:ind w:firstLine="283"/>
              <w:jc w:val="both"/>
            </w:pPr>
            <w:r>
              <w:t xml:space="preserve">СП 42.13330.2016 "Градостроительство. Планировка и застройка городских и сельских поселений", утвержденным </w:t>
            </w:r>
            <w:hyperlink r:id="rId8" w:history="1">
              <w:r>
                <w:rPr>
                  <w:color w:val="0000FF"/>
                </w:rPr>
                <w:t>приказом</w:t>
              </w:r>
            </w:hyperlink>
            <w:r>
              <w:t xml:space="preserve"> Минстроя России от 30 декабря 2016 г. N 1034/</w:t>
            </w:r>
            <w:proofErr w:type="spellStart"/>
            <w:r>
              <w:t>пр</w:t>
            </w:r>
            <w:proofErr w:type="spellEnd"/>
            <w:r>
              <w:t>;</w:t>
            </w:r>
          </w:p>
          <w:p w:rsidR="00F37392" w:rsidRDefault="00F37392">
            <w:pPr>
              <w:pStyle w:val="ConsPlusNormal"/>
              <w:ind w:firstLine="283"/>
              <w:jc w:val="both"/>
            </w:pPr>
            <w:r>
              <w:t xml:space="preserve">СП 54.13330.2016 "Здания жилые многоквартирные", утвержденным </w:t>
            </w:r>
            <w:hyperlink r:id="rId9" w:history="1">
              <w:r>
                <w:rPr>
                  <w:color w:val="0000FF"/>
                </w:rPr>
                <w:t>приказом</w:t>
              </w:r>
            </w:hyperlink>
            <w:r>
              <w:t xml:space="preserve"> Минстроя России от 3 декабря 2016 г. N 883/</w:t>
            </w:r>
            <w:proofErr w:type="spellStart"/>
            <w:r>
              <w:t>пр</w:t>
            </w:r>
            <w:proofErr w:type="spellEnd"/>
            <w:r>
              <w:t>;</w:t>
            </w:r>
          </w:p>
          <w:p w:rsidR="00F37392" w:rsidRDefault="00F37392">
            <w:pPr>
              <w:pStyle w:val="ConsPlusNormal"/>
              <w:ind w:firstLine="283"/>
              <w:jc w:val="both"/>
            </w:pPr>
            <w:r>
              <w:lastRenderedPageBreak/>
              <w:t xml:space="preserve">СП 59.13330.2016 "Доступность зданий и сооружений для маломобильных групп населения", утвержденным </w:t>
            </w:r>
            <w:hyperlink r:id="rId10" w:history="1">
              <w:r>
                <w:rPr>
                  <w:color w:val="0000FF"/>
                </w:rPr>
                <w:t>приказом</w:t>
              </w:r>
            </w:hyperlink>
            <w:r>
              <w:t xml:space="preserve"> Минстроя России от 14 ноября 2016 г. N 798/</w:t>
            </w:r>
            <w:proofErr w:type="spellStart"/>
            <w:r>
              <w:t>пр</w:t>
            </w:r>
            <w:proofErr w:type="spellEnd"/>
            <w:r>
              <w:t>;</w:t>
            </w:r>
          </w:p>
          <w:p w:rsidR="00F37392" w:rsidRDefault="00F37392">
            <w:pPr>
              <w:pStyle w:val="ConsPlusNormal"/>
              <w:ind w:firstLine="283"/>
              <w:jc w:val="both"/>
            </w:pPr>
            <w:r>
              <w:t xml:space="preserve">СП 14.13330.2014 "Строительство в сейсмических районах", утвержденным </w:t>
            </w:r>
            <w:hyperlink r:id="rId11" w:history="1">
              <w:r>
                <w:rPr>
                  <w:color w:val="0000FF"/>
                </w:rPr>
                <w:t>приказом</w:t>
              </w:r>
            </w:hyperlink>
            <w:r>
              <w:t xml:space="preserve"> Минстроя России от 18 февраля 2014 г. N 60/</w:t>
            </w:r>
            <w:proofErr w:type="spellStart"/>
            <w:r>
              <w:t>пр</w:t>
            </w:r>
            <w:proofErr w:type="spellEnd"/>
            <w:r>
              <w:t>;</w:t>
            </w:r>
          </w:p>
          <w:p w:rsidR="00F37392" w:rsidRDefault="00F37392">
            <w:pPr>
              <w:pStyle w:val="ConsPlusNormal"/>
              <w:ind w:firstLine="283"/>
              <w:jc w:val="both"/>
            </w:pPr>
            <w:r>
              <w:t xml:space="preserve">СП 22.13330.2016 "Основания зданий и сооружений", утвержденным </w:t>
            </w:r>
            <w:hyperlink r:id="rId12" w:history="1">
              <w:r>
                <w:rPr>
                  <w:color w:val="0000FF"/>
                </w:rPr>
                <w:t>приказом</w:t>
              </w:r>
            </w:hyperlink>
            <w:r>
              <w:t xml:space="preserve"> Минстроя России от 16 декабря 2016 г. N 970/</w:t>
            </w:r>
            <w:proofErr w:type="spellStart"/>
            <w:r>
              <w:t>пр</w:t>
            </w:r>
            <w:proofErr w:type="spellEnd"/>
            <w:r>
              <w:t>;</w:t>
            </w:r>
          </w:p>
        </w:tc>
      </w:tr>
      <w:tr w:rsidR="00F37392">
        <w:tblPrEx>
          <w:tblBorders>
            <w:insideH w:val="nil"/>
          </w:tblBorders>
        </w:tblPrEx>
        <w:tc>
          <w:tcPr>
            <w:tcW w:w="614" w:type="dxa"/>
            <w:tcBorders>
              <w:top w:val="nil"/>
            </w:tcBorders>
          </w:tcPr>
          <w:p w:rsidR="00F37392" w:rsidRDefault="00F37392">
            <w:pPr>
              <w:pStyle w:val="ConsPlusNormal"/>
            </w:pPr>
          </w:p>
        </w:tc>
        <w:tc>
          <w:tcPr>
            <w:tcW w:w="2041" w:type="dxa"/>
            <w:tcBorders>
              <w:top w:val="nil"/>
            </w:tcBorders>
          </w:tcPr>
          <w:p w:rsidR="00F37392" w:rsidRDefault="00F37392">
            <w:pPr>
              <w:pStyle w:val="ConsPlusNormal"/>
            </w:pPr>
          </w:p>
        </w:tc>
        <w:tc>
          <w:tcPr>
            <w:tcW w:w="6406" w:type="dxa"/>
            <w:tcBorders>
              <w:top w:val="nil"/>
            </w:tcBorders>
          </w:tcPr>
          <w:p w:rsidR="00F37392" w:rsidRDefault="00F37392">
            <w:pPr>
              <w:pStyle w:val="ConsPlusNormal"/>
              <w:ind w:firstLine="283"/>
              <w:jc w:val="both"/>
            </w:pPr>
            <w:hyperlink r:id="rId13" w:history="1">
              <w:r>
                <w:rPr>
                  <w:color w:val="0000FF"/>
                </w:rPr>
                <w:t>СП 2.13130.2012</w:t>
              </w:r>
            </w:hyperlink>
            <w:r>
              <w:t xml:space="preserve"> "Системы противопожарной защиты. Обеспечение огнестойкости объектов защиты", утвержденным приказом МЧС России от 21 ноября 2012 г. N 693;</w:t>
            </w:r>
          </w:p>
          <w:p w:rsidR="00F37392" w:rsidRDefault="00F37392">
            <w:pPr>
              <w:pStyle w:val="ConsPlusNormal"/>
              <w:ind w:firstLine="283"/>
              <w:jc w:val="both"/>
            </w:pPr>
            <w:hyperlink r:id="rId14" w:history="1">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rsidR="00F37392" w:rsidRDefault="00F37392">
            <w:pPr>
              <w:pStyle w:val="ConsPlusNormal"/>
              <w:ind w:firstLine="283"/>
              <w:jc w:val="both"/>
            </w:pPr>
            <w:r>
              <w:t xml:space="preserve">СП 255.1325800.2016 "Здания и сооружения. Правила эксплуатации. Основные положения", утвержденным </w:t>
            </w:r>
            <w:hyperlink r:id="rId15" w:history="1">
              <w:r>
                <w:rPr>
                  <w:color w:val="0000FF"/>
                </w:rPr>
                <w:t>приказом</w:t>
              </w:r>
            </w:hyperlink>
            <w:r>
              <w:t xml:space="preserve"> Минстроя России от 24 августа 2016 г. N 590/пр.</w:t>
            </w:r>
          </w:p>
          <w:p w:rsidR="00F37392" w:rsidRDefault="00F37392">
            <w:pPr>
              <w:pStyle w:val="ConsPlusNormal"/>
              <w:ind w:firstLine="283"/>
              <w:jc w:val="both"/>
            </w:pPr>
            <w:r>
              <w:t xml:space="preserve">Оформление проектной документации рекомендуется осуществлять в соответствии с ГОСТ Р 21.1101-2013 "Основные требования к проектной и рабочей документации", утвержденным </w:t>
            </w:r>
            <w:hyperlink r:id="rId16" w:history="1">
              <w:r>
                <w:rPr>
                  <w:color w:val="0000FF"/>
                </w:rPr>
                <w:t>приказом</w:t>
              </w:r>
            </w:hyperlink>
            <w:r>
              <w:t xml:space="preserve"> </w:t>
            </w:r>
            <w:proofErr w:type="spellStart"/>
            <w:r>
              <w:t>Росстандарта</w:t>
            </w:r>
            <w:proofErr w:type="spellEnd"/>
            <w:r>
              <w:t xml:space="preserve"> от 11 июня 2013 г. N 156-ст.</w:t>
            </w:r>
          </w:p>
          <w:p w:rsidR="00F37392" w:rsidRDefault="00F37392">
            <w:pPr>
              <w:pStyle w:val="ConsPlusNormal"/>
              <w:ind w:firstLine="283"/>
              <w:jc w:val="both"/>
            </w:pPr>
            <w:r>
              <w:t xml:space="preserve">Планируемые к строительству (строящиеся) многоквартирные дома, жилые дома блокированной застройки, а также подлежащие приобретению жилые помещения должны соответствовать положениям санитарно-эпидемиологических </w:t>
            </w:r>
            <w:hyperlink r:id="rId17" w:history="1">
              <w:r>
                <w:rPr>
                  <w:color w:val="0000FF"/>
                </w:rPr>
                <w:t>правил</w:t>
              </w:r>
            </w:hyperlink>
            <w:r>
              <w:t xml:space="preserve">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 июня 2010 г. N 64.</w:t>
            </w:r>
          </w:p>
          <w:p w:rsidR="00F37392" w:rsidRDefault="00F37392">
            <w:pPr>
              <w:pStyle w:val="ConsPlusNormal"/>
              <w:ind w:firstLine="283"/>
              <w:jc w:val="both"/>
            </w:pPr>
            <w: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F37392">
        <w:tblPrEx>
          <w:tblBorders>
            <w:insideH w:val="nil"/>
          </w:tblBorders>
        </w:tblPrEx>
        <w:tc>
          <w:tcPr>
            <w:tcW w:w="614" w:type="dxa"/>
            <w:tcBorders>
              <w:bottom w:val="nil"/>
            </w:tcBorders>
          </w:tcPr>
          <w:p w:rsidR="00F37392" w:rsidRDefault="00F37392">
            <w:pPr>
              <w:pStyle w:val="ConsPlusNormal"/>
              <w:jc w:val="center"/>
            </w:pPr>
            <w:r>
              <w:t>2</w:t>
            </w:r>
          </w:p>
        </w:tc>
        <w:tc>
          <w:tcPr>
            <w:tcW w:w="2041" w:type="dxa"/>
            <w:tcBorders>
              <w:bottom w:val="nil"/>
            </w:tcBorders>
          </w:tcPr>
          <w:p w:rsidR="00F37392" w:rsidRDefault="00F37392">
            <w:pPr>
              <w:pStyle w:val="ConsPlusNormal"/>
            </w:pPr>
            <w:r>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6406" w:type="dxa"/>
            <w:tcBorders>
              <w:bottom w:val="nil"/>
            </w:tcBorders>
          </w:tcPr>
          <w:p w:rsidR="00F37392" w:rsidRDefault="00F37392">
            <w:pPr>
              <w:pStyle w:val="ConsPlusNormal"/>
              <w:ind w:firstLine="283"/>
              <w:jc w:val="both"/>
            </w:pPr>
            <w:r>
              <w:t>К строящимся многоквартирным домам и многоквартирным домам, введенным в эксплуатацию, в которых приобретаются жилые помещения, рекомендуется предъявлять требования к наличию:</w:t>
            </w:r>
          </w:p>
          <w:p w:rsidR="00F37392" w:rsidRDefault="00F37392">
            <w:pPr>
              <w:pStyle w:val="ConsPlusNormal"/>
              <w:ind w:firstLine="283"/>
              <w:jc w:val="both"/>
            </w:pPr>
            <w:r>
              <w:t>1) несущих строительных конструкций, выполненных из следующих материалов:</w:t>
            </w:r>
          </w:p>
          <w:p w:rsidR="00F37392" w:rsidRDefault="00F37392">
            <w:pPr>
              <w:pStyle w:val="ConsPlusNormal"/>
              <w:ind w:firstLine="283"/>
              <w:jc w:val="both"/>
            </w:pPr>
            <w:r>
              <w:t>а) стены -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F37392" w:rsidRDefault="00F37392">
            <w:pPr>
              <w:pStyle w:val="ConsPlusNormal"/>
              <w:ind w:firstLine="283"/>
              <w:jc w:val="both"/>
            </w:pPr>
            <w:r>
              <w:t>б) перекрытия - из сборных и монолитных железобетонных конструкций;</w:t>
            </w:r>
          </w:p>
          <w:p w:rsidR="00F37392" w:rsidRDefault="00F37392">
            <w:pPr>
              <w:pStyle w:val="ConsPlusNormal"/>
              <w:ind w:firstLine="283"/>
              <w:jc w:val="both"/>
            </w:pPr>
            <w:r>
              <w:t xml:space="preserve">в) фундаменты - из сборных и монолитных железобетонных и </w:t>
            </w:r>
            <w:r>
              <w:lastRenderedPageBreak/>
              <w:t>каменных конструкций.</w:t>
            </w:r>
          </w:p>
          <w:p w:rsidR="00F37392" w:rsidRDefault="00F37392">
            <w:pPr>
              <w:pStyle w:val="ConsPlusNormal"/>
              <w:ind w:firstLine="283"/>
              <w:jc w:val="both"/>
            </w:pPr>
            <w:r>
              <w:t>Не рекомендуется приобретение жилья в домах, выполненных из легких стальных тонкостенных конструкций (ЛСТК), SIP-панелей, металлических сэндвич-панелей;</w:t>
            </w:r>
          </w:p>
          <w:p w:rsidR="00F37392" w:rsidRDefault="00F37392">
            <w:pPr>
              <w:pStyle w:val="ConsPlusNormal"/>
              <w:ind w:firstLine="283"/>
              <w:jc w:val="both"/>
            </w:pPr>
            <w:r>
              <w:t>2) подключения к централизованным сетям инженерно-технического обеспечения по выданным соответствующими ресурсоснабжающими и иными организациями техническим условиям;</w:t>
            </w:r>
          </w:p>
          <w:p w:rsidR="00F37392" w:rsidRDefault="00F37392">
            <w:pPr>
              <w:pStyle w:val="ConsPlusNormal"/>
              <w:ind w:firstLine="283"/>
              <w:jc w:val="both"/>
            </w:pPr>
            <w:r>
              <w:t>3) внутриквартирных санитарных узлов (раздельных или совмещенных), включающих ванну, унитаз, раковину;</w:t>
            </w:r>
          </w:p>
          <w:p w:rsidR="00F37392" w:rsidRDefault="00F37392">
            <w:pPr>
              <w:pStyle w:val="ConsPlusNormal"/>
              <w:ind w:firstLine="283"/>
              <w:jc w:val="both"/>
            </w:pPr>
            <w:r>
              <w:t>4) внутридомовых инженерных систем, включая системы:</w:t>
            </w:r>
          </w:p>
          <w:p w:rsidR="00F37392" w:rsidRDefault="00F37392">
            <w:pPr>
              <w:pStyle w:val="ConsPlusNormal"/>
              <w:ind w:firstLine="283"/>
              <w:jc w:val="both"/>
            </w:pPr>
            <w:r>
              <w:t>а) электроснабжения (с силовым и иным электрооборудованием в соответствии с проектной документацией);</w:t>
            </w:r>
          </w:p>
          <w:p w:rsidR="00F37392" w:rsidRDefault="00F37392">
            <w:pPr>
              <w:pStyle w:val="ConsPlusNormal"/>
              <w:ind w:firstLine="283"/>
              <w:jc w:val="both"/>
            </w:pPr>
            <w:r>
              <w:t>б) холодного водоснабжения;</w:t>
            </w:r>
          </w:p>
          <w:p w:rsidR="00F37392" w:rsidRDefault="00F37392">
            <w:pPr>
              <w:pStyle w:val="ConsPlusNormal"/>
              <w:ind w:firstLine="283"/>
              <w:jc w:val="both"/>
            </w:pPr>
            <w:r>
              <w:t>в) водоотведения (канализации);)</w:t>
            </w:r>
          </w:p>
          <w:p w:rsidR="00F37392" w:rsidRDefault="00F37392">
            <w:pPr>
              <w:pStyle w:val="ConsPlusNormal"/>
              <w:ind w:firstLine="283"/>
              <w:jc w:val="both"/>
            </w:pPr>
            <w: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t>легкосбрасываемых</w:t>
            </w:r>
            <w:proofErr w:type="spellEnd"/>
            <w:r>
              <w:t xml:space="preserve"> оконных блоков (в соответствии с проектной документацией);</w:t>
            </w:r>
          </w:p>
        </w:tc>
      </w:tr>
      <w:tr w:rsidR="00F37392">
        <w:tblPrEx>
          <w:tblBorders>
            <w:insideH w:val="nil"/>
          </w:tblBorders>
        </w:tblPrEx>
        <w:tc>
          <w:tcPr>
            <w:tcW w:w="614" w:type="dxa"/>
            <w:tcBorders>
              <w:top w:val="nil"/>
              <w:bottom w:val="nil"/>
            </w:tcBorders>
          </w:tcPr>
          <w:p w:rsidR="00F37392" w:rsidRDefault="00F37392">
            <w:pPr>
              <w:pStyle w:val="ConsPlusNormal"/>
            </w:pPr>
          </w:p>
        </w:tc>
        <w:tc>
          <w:tcPr>
            <w:tcW w:w="2041" w:type="dxa"/>
            <w:tcBorders>
              <w:top w:val="nil"/>
              <w:bottom w:val="nil"/>
            </w:tcBorders>
          </w:tcPr>
          <w:p w:rsidR="00F37392" w:rsidRDefault="00F37392">
            <w:pPr>
              <w:pStyle w:val="ConsPlusNormal"/>
            </w:pPr>
          </w:p>
        </w:tc>
        <w:tc>
          <w:tcPr>
            <w:tcW w:w="6406" w:type="dxa"/>
            <w:tcBorders>
              <w:top w:val="nil"/>
              <w:bottom w:val="nil"/>
            </w:tcBorders>
          </w:tcPr>
          <w:p w:rsidR="00F37392" w:rsidRDefault="00F37392">
            <w:pPr>
              <w:pStyle w:val="ConsPlusNormal"/>
              <w:ind w:firstLine="283"/>
              <w:jc w:val="both"/>
            </w:pPr>
            <w: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F37392" w:rsidRDefault="00F37392">
            <w:pPr>
              <w:pStyle w:val="ConsPlusNormal"/>
              <w:ind w:firstLine="283"/>
              <w:jc w:val="both"/>
            </w:pPr>
            <w:r>
              <w:t>е) горячего водоснабжения;</w:t>
            </w:r>
          </w:p>
          <w:p w:rsidR="00F37392" w:rsidRDefault="00F37392">
            <w:pPr>
              <w:pStyle w:val="ConsPlusNormal"/>
              <w:ind w:firstLine="283"/>
              <w:jc w:val="both"/>
            </w:pPr>
            <w:r>
              <w:t>ж) противопожарной безопасности (в соответствии с проектной документацией);</w:t>
            </w:r>
          </w:p>
          <w:p w:rsidR="00F37392" w:rsidRDefault="00F37392">
            <w:pPr>
              <w:pStyle w:val="ConsPlusNormal"/>
              <w:ind w:firstLine="283"/>
              <w:jc w:val="both"/>
            </w:pPr>
            <w:r>
              <w:t xml:space="preserve">з) </w:t>
            </w:r>
            <w:proofErr w:type="spellStart"/>
            <w:r>
              <w:t>мусороудаления</w:t>
            </w:r>
            <w:proofErr w:type="spellEnd"/>
            <w:r>
              <w:t xml:space="preserve"> (при наличии в соответствии с проектной документацией).</w:t>
            </w:r>
          </w:p>
          <w:p w:rsidR="00F37392" w:rsidRDefault="00F37392">
            <w:pPr>
              <w:pStyle w:val="ConsPlusNormal"/>
              <w:ind w:firstLine="283"/>
              <w:jc w:val="both"/>
            </w:pPr>
            <w:r>
              <w:t>В случае экономической целесообразности рекомендуется использовать локальные системы энергоснабжения;</w:t>
            </w:r>
          </w:p>
          <w:p w:rsidR="00F37392" w:rsidRDefault="00F37392">
            <w:pPr>
              <w:pStyle w:val="ConsPlusNormal"/>
              <w:ind w:firstLine="283"/>
              <w:jc w:val="both"/>
            </w:pPr>
            <w:r>
              <w:t>5) принятых в эксплуатацию и зарегистрированных в установленном порядке лифтов (при наличии в соответствии с проектной документацией), оснащенных:</w:t>
            </w:r>
          </w:p>
          <w:p w:rsidR="00F37392" w:rsidRDefault="00F37392">
            <w:pPr>
              <w:pStyle w:val="ConsPlusNormal"/>
              <w:ind w:firstLine="283"/>
              <w:jc w:val="both"/>
            </w:pPr>
            <w:r>
              <w:t>а) кабиной, предназначенной для пользования инвалидом на кресле-коляске с сопровождающим лицом;</w:t>
            </w:r>
          </w:p>
          <w:p w:rsidR="00F37392" w:rsidRDefault="00F37392">
            <w:pPr>
              <w:pStyle w:val="ConsPlusNormal"/>
              <w:ind w:firstLine="283"/>
              <w:jc w:val="both"/>
            </w:pPr>
            <w:r>
              <w:t>б) оборудованием для связи с диспетчером;</w:t>
            </w:r>
          </w:p>
          <w:p w:rsidR="00F37392" w:rsidRDefault="00F37392">
            <w:pPr>
              <w:pStyle w:val="ConsPlusNormal"/>
              <w:ind w:firstLine="283"/>
              <w:jc w:val="both"/>
            </w:pPr>
            <w:r>
              <w:t>в) аварийным освещением кабины лифта;</w:t>
            </w:r>
          </w:p>
          <w:p w:rsidR="00F37392" w:rsidRDefault="00F37392">
            <w:pPr>
              <w:pStyle w:val="ConsPlusNormal"/>
              <w:ind w:firstLine="283"/>
              <w:jc w:val="both"/>
            </w:pPr>
            <w:r>
              <w:t>г) светодиодным освещением кабины лифта в антивандальном исполнении;</w:t>
            </w:r>
          </w:p>
          <w:p w:rsidR="00F37392" w:rsidRDefault="00F37392">
            <w:pPr>
              <w:pStyle w:val="ConsPlusNormal"/>
              <w:ind w:firstLine="283"/>
              <w:jc w:val="both"/>
            </w:pPr>
            <w:r>
              <w:t>д) панелью управления кабиной лифта в антивандальном исполнении;</w:t>
            </w:r>
          </w:p>
          <w:p w:rsidR="00F37392" w:rsidRDefault="00F37392">
            <w:pPr>
              <w:pStyle w:val="ConsPlusNormal"/>
              <w:ind w:firstLine="283"/>
              <w:jc w:val="both"/>
            </w:pPr>
            <w:r>
              <w:t>6)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tc>
      </w:tr>
      <w:tr w:rsidR="00F37392">
        <w:tblPrEx>
          <w:tblBorders>
            <w:insideH w:val="nil"/>
          </w:tblBorders>
        </w:tblPrEx>
        <w:tc>
          <w:tcPr>
            <w:tcW w:w="614" w:type="dxa"/>
            <w:tcBorders>
              <w:top w:val="nil"/>
            </w:tcBorders>
          </w:tcPr>
          <w:p w:rsidR="00F37392" w:rsidRDefault="00F37392">
            <w:pPr>
              <w:pStyle w:val="ConsPlusNormal"/>
            </w:pPr>
          </w:p>
        </w:tc>
        <w:tc>
          <w:tcPr>
            <w:tcW w:w="2041" w:type="dxa"/>
            <w:tcBorders>
              <w:top w:val="nil"/>
            </w:tcBorders>
          </w:tcPr>
          <w:p w:rsidR="00F37392" w:rsidRDefault="00F37392">
            <w:pPr>
              <w:pStyle w:val="ConsPlusNormal"/>
            </w:pPr>
          </w:p>
        </w:tc>
        <w:tc>
          <w:tcPr>
            <w:tcW w:w="6406" w:type="dxa"/>
            <w:tcBorders>
              <w:top w:val="nil"/>
            </w:tcBorders>
          </w:tcPr>
          <w:p w:rsidR="00F37392" w:rsidRDefault="00F37392">
            <w:pPr>
              <w:pStyle w:val="ConsPlusNormal"/>
              <w:ind w:firstLine="283"/>
              <w:jc w:val="both"/>
            </w:pPr>
            <w:r>
              <w:t xml:space="preserve">7) оконных блоков со стеклопакетом класса </w:t>
            </w:r>
            <w:proofErr w:type="spellStart"/>
            <w:r>
              <w:t>энергоэффективности</w:t>
            </w:r>
            <w:proofErr w:type="spellEnd"/>
            <w:r>
              <w:t xml:space="preserve"> в соответствии с классом </w:t>
            </w:r>
            <w:proofErr w:type="spellStart"/>
            <w:r>
              <w:t>энергоэффективности</w:t>
            </w:r>
            <w:proofErr w:type="spellEnd"/>
            <w:r>
              <w:t xml:space="preserve"> дома;</w:t>
            </w:r>
          </w:p>
          <w:p w:rsidR="00F37392" w:rsidRDefault="00F37392">
            <w:pPr>
              <w:pStyle w:val="ConsPlusNormal"/>
              <w:ind w:firstLine="283"/>
              <w:jc w:val="both"/>
            </w:pPr>
            <w:r>
              <w:t>8)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F37392" w:rsidRDefault="00F37392">
            <w:pPr>
              <w:pStyle w:val="ConsPlusNormal"/>
              <w:ind w:firstLine="283"/>
              <w:jc w:val="both"/>
            </w:pPr>
            <w:r>
              <w:t xml:space="preserve">9) освещения при входах в подъезды дома с использованием светильников в антивандальном исполнении со светодиодным источником света и датчиков освещенности, козырьков над входной дверью и утепленных дверных блоков с ручками и </w:t>
            </w:r>
            <w:proofErr w:type="spellStart"/>
            <w:r>
              <w:t>автодоводчиком</w:t>
            </w:r>
            <w:proofErr w:type="spellEnd"/>
            <w:r>
              <w:t>;</w:t>
            </w:r>
          </w:p>
          <w:p w:rsidR="00F37392" w:rsidRDefault="00F37392">
            <w:pPr>
              <w:pStyle w:val="ConsPlusNormal"/>
              <w:ind w:firstLine="283"/>
              <w:jc w:val="both"/>
            </w:pPr>
            <w:r>
              <w:t xml:space="preserve">10) металлических дверных блоков с замком, ручками и </w:t>
            </w:r>
            <w:proofErr w:type="spellStart"/>
            <w:r>
              <w:t>автодоводчиком</w:t>
            </w:r>
            <w:proofErr w:type="spellEnd"/>
            <w:r>
              <w:t xml:space="preserve"> во входах в подвал (техническое подполье) дома;</w:t>
            </w:r>
          </w:p>
          <w:p w:rsidR="00F37392" w:rsidRDefault="00F37392">
            <w:pPr>
              <w:pStyle w:val="ConsPlusNormal"/>
              <w:ind w:firstLine="283"/>
              <w:jc w:val="both"/>
            </w:pPr>
            <w:r>
              <w:t xml:space="preserve">11) </w:t>
            </w:r>
            <w:proofErr w:type="spellStart"/>
            <w:r>
              <w:t>отмостки</w:t>
            </w:r>
            <w:proofErr w:type="spellEnd"/>
            <w:r>
              <w:t xml:space="preserve"> из армированного бетона, асфальта, устроенной по всему периметру дома и обеспечивающей отвод воды от фундаментов;</w:t>
            </w:r>
          </w:p>
          <w:p w:rsidR="00F37392" w:rsidRDefault="00F37392">
            <w:pPr>
              <w:pStyle w:val="ConsPlusNormal"/>
              <w:ind w:firstLine="283"/>
              <w:jc w:val="both"/>
            </w:pPr>
            <w:r>
              <w:t>12) организованного водостока;</w:t>
            </w:r>
          </w:p>
          <w:p w:rsidR="00F37392" w:rsidRDefault="00F37392">
            <w:pPr>
              <w:pStyle w:val="ConsPlusNormal"/>
              <w:ind w:firstLine="283"/>
              <w:jc w:val="both"/>
            </w:pPr>
            <w:r>
              <w:t>13) благоустройства придомовой территории, в том числе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F37392">
        <w:tblPrEx>
          <w:tblBorders>
            <w:insideH w:val="nil"/>
          </w:tblBorders>
        </w:tblPrEx>
        <w:tc>
          <w:tcPr>
            <w:tcW w:w="614" w:type="dxa"/>
            <w:tcBorders>
              <w:bottom w:val="nil"/>
            </w:tcBorders>
          </w:tcPr>
          <w:p w:rsidR="00F37392" w:rsidRDefault="00F37392">
            <w:pPr>
              <w:pStyle w:val="ConsPlusNormal"/>
              <w:jc w:val="center"/>
            </w:pPr>
            <w:bookmarkStart w:id="0" w:name="P82"/>
            <w:bookmarkEnd w:id="0"/>
            <w:r>
              <w:t>3</w:t>
            </w:r>
          </w:p>
        </w:tc>
        <w:tc>
          <w:tcPr>
            <w:tcW w:w="2041" w:type="dxa"/>
            <w:tcBorders>
              <w:bottom w:val="nil"/>
            </w:tcBorders>
          </w:tcPr>
          <w:p w:rsidR="00F37392" w:rsidRDefault="00F37392">
            <w:pPr>
              <w:pStyle w:val="ConsPlusNormal"/>
            </w:pPr>
            <w:r>
              <w:t>Функциональное оснащение и отделка жилых помещений</w:t>
            </w:r>
          </w:p>
        </w:tc>
        <w:tc>
          <w:tcPr>
            <w:tcW w:w="6406" w:type="dxa"/>
            <w:tcBorders>
              <w:bottom w:val="nil"/>
            </w:tcBorders>
          </w:tcPr>
          <w:p w:rsidR="00F37392" w:rsidRDefault="00F37392">
            <w:pPr>
              <w:pStyle w:val="ConsPlusNormal"/>
              <w:ind w:firstLine="283"/>
              <w:jc w:val="both"/>
            </w:pPr>
            <w:r>
              <w:t>Рекомендуется приобретать жилые помещения, расположенные на любых этажах дома, кроме подвального, цокольного, технического, мансардного, и:</w:t>
            </w:r>
          </w:p>
          <w:p w:rsidR="00F37392" w:rsidRDefault="00F37392">
            <w:pPr>
              <w:pStyle w:val="ConsPlusNormal"/>
              <w:ind w:firstLine="283"/>
              <w:jc w:val="both"/>
            </w:pPr>
            <w:r>
              <w:t>1) оборудованные подключенными к соответствующим внутридомовым инженерным системам внутриквартирными инженерными сетями в составе (не менее):</w:t>
            </w:r>
          </w:p>
          <w:p w:rsidR="00F37392" w:rsidRDefault="00F37392">
            <w:pPr>
              <w:pStyle w:val="ConsPlusNormal"/>
              <w:ind w:firstLine="283"/>
              <w:jc w:val="both"/>
            </w:pPr>
            <w:r>
              <w:t>а) электроснабжения с электрическим щитком с устройствами защитного отключения;</w:t>
            </w:r>
          </w:p>
          <w:p w:rsidR="00F37392" w:rsidRDefault="00F37392">
            <w:pPr>
              <w:pStyle w:val="ConsPlusNormal"/>
              <w:ind w:firstLine="283"/>
              <w:jc w:val="both"/>
            </w:pPr>
            <w:r>
              <w:t>б) холодного водоснабжения;</w:t>
            </w:r>
          </w:p>
          <w:p w:rsidR="00F37392" w:rsidRDefault="00F37392">
            <w:pPr>
              <w:pStyle w:val="ConsPlusNormal"/>
              <w:ind w:firstLine="283"/>
              <w:jc w:val="both"/>
            </w:pPr>
            <w:r>
              <w:t>в) горячего водоснабжения (централизованной или автономной);</w:t>
            </w:r>
          </w:p>
          <w:p w:rsidR="00F37392" w:rsidRDefault="00F37392">
            <w:pPr>
              <w:pStyle w:val="ConsPlusNormal"/>
              <w:ind w:firstLine="283"/>
              <w:jc w:val="both"/>
            </w:pPr>
            <w:r>
              <w:t>г) водоотведения (канализации);</w:t>
            </w:r>
          </w:p>
          <w:p w:rsidR="00F37392" w:rsidRDefault="00F37392">
            <w:pPr>
              <w:pStyle w:val="ConsPlusNormal"/>
              <w:ind w:firstLine="283"/>
              <w:jc w:val="both"/>
            </w:pPr>
            <w:r>
              <w:t>д) отопления (централизованного или автономного);</w:t>
            </w:r>
          </w:p>
          <w:p w:rsidR="00F37392" w:rsidRDefault="00F37392">
            <w:pPr>
              <w:pStyle w:val="ConsPlusNormal"/>
              <w:ind w:firstLine="283"/>
              <w:jc w:val="both"/>
            </w:pPr>
            <w:r>
              <w:t>е) вентиляции;</w:t>
            </w:r>
          </w:p>
          <w:p w:rsidR="00F37392" w:rsidRDefault="00F37392">
            <w:pPr>
              <w:pStyle w:val="ConsPlusNormal"/>
              <w:ind w:firstLine="283"/>
              <w:jc w:val="both"/>
            </w:pPr>
            <w: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t>легкосбрасываемых</w:t>
            </w:r>
            <w:proofErr w:type="spellEnd"/>
            <w:r>
              <w:t xml:space="preserve"> оконных блоков (в соответствии с проектной документацией);</w:t>
            </w:r>
          </w:p>
          <w:p w:rsidR="00F37392" w:rsidRDefault="00F37392">
            <w:pPr>
              <w:pStyle w:val="ConsPlusNormal"/>
              <w:ind w:firstLine="283"/>
              <w:jc w:val="both"/>
            </w:pPr>
            <w:r>
              <w:t>з)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F37392" w:rsidRDefault="00F37392">
            <w:pPr>
              <w:pStyle w:val="ConsPlusNormal"/>
              <w:ind w:firstLine="283"/>
              <w:jc w:val="both"/>
            </w:pPr>
            <w:r>
              <w:lastRenderedPageBreak/>
              <w:t>2) имеющие чистовую отделку "под ключ", в том числе:</w:t>
            </w:r>
          </w:p>
          <w:p w:rsidR="00F37392" w:rsidRDefault="00F37392">
            <w:pPr>
              <w:pStyle w:val="ConsPlusNormal"/>
              <w:ind w:firstLine="283"/>
              <w:jc w:val="both"/>
            </w:pPr>
            <w:r>
              <w:t>а) входную утепленную дверь с замком, ручками и дверным глазком;</w:t>
            </w:r>
          </w:p>
          <w:p w:rsidR="00F37392" w:rsidRDefault="00F37392">
            <w:pPr>
              <w:pStyle w:val="ConsPlusNormal"/>
              <w:ind w:firstLine="283"/>
              <w:jc w:val="both"/>
            </w:pPr>
            <w:r>
              <w:t>б) межкомнатные двери с наличниками и ручками;</w:t>
            </w:r>
          </w:p>
        </w:tc>
      </w:tr>
      <w:tr w:rsidR="00F37392">
        <w:tblPrEx>
          <w:tblBorders>
            <w:insideH w:val="nil"/>
          </w:tblBorders>
        </w:tblPrEx>
        <w:tc>
          <w:tcPr>
            <w:tcW w:w="614" w:type="dxa"/>
            <w:tcBorders>
              <w:top w:val="nil"/>
            </w:tcBorders>
          </w:tcPr>
          <w:p w:rsidR="00F37392" w:rsidRDefault="00F37392">
            <w:pPr>
              <w:pStyle w:val="ConsPlusNormal"/>
            </w:pPr>
          </w:p>
        </w:tc>
        <w:tc>
          <w:tcPr>
            <w:tcW w:w="2041" w:type="dxa"/>
            <w:tcBorders>
              <w:top w:val="nil"/>
            </w:tcBorders>
          </w:tcPr>
          <w:p w:rsidR="00F37392" w:rsidRDefault="00F37392">
            <w:pPr>
              <w:pStyle w:val="ConsPlusNormal"/>
            </w:pPr>
          </w:p>
        </w:tc>
        <w:tc>
          <w:tcPr>
            <w:tcW w:w="6406" w:type="dxa"/>
            <w:tcBorders>
              <w:top w:val="nil"/>
            </w:tcBorders>
          </w:tcPr>
          <w:p w:rsidR="00F37392" w:rsidRDefault="00F37392">
            <w:pPr>
              <w:pStyle w:val="ConsPlusNormal"/>
              <w:ind w:firstLine="283"/>
              <w:jc w:val="both"/>
            </w:pPr>
            <w:r>
              <w:t xml:space="preserve">в) оконные блоки со стеклопакетом класса </w:t>
            </w:r>
            <w:proofErr w:type="spellStart"/>
            <w:r>
              <w:t>энергоэффективности</w:t>
            </w:r>
            <w:proofErr w:type="spellEnd"/>
            <w:r>
              <w:t xml:space="preserve"> в соответствии с классом </w:t>
            </w:r>
            <w:proofErr w:type="spellStart"/>
            <w:r>
              <w:t>энергоэффективности</w:t>
            </w:r>
            <w:proofErr w:type="spellEnd"/>
            <w:r>
              <w:t xml:space="preserve"> дома;</w:t>
            </w:r>
          </w:p>
          <w:p w:rsidR="00F37392" w:rsidRDefault="00F37392">
            <w:pPr>
              <w:pStyle w:val="ConsPlusNormal"/>
              <w:ind w:firstLine="283"/>
              <w:jc w:val="both"/>
            </w:pPr>
            <w:r>
              <w:t>г) вентиляционные решетки;</w:t>
            </w:r>
          </w:p>
          <w:p w:rsidR="00F37392" w:rsidRDefault="00F37392">
            <w:pPr>
              <w:pStyle w:val="ConsPlusNormal"/>
              <w:ind w:firstLine="283"/>
              <w:jc w:val="both"/>
            </w:pPr>
            <w:r>
              <w:t>д) подвесные крюки для потолочных осветительных приборов во всех помещениях квартиры;</w:t>
            </w:r>
          </w:p>
          <w:p w:rsidR="00F37392" w:rsidRDefault="00F37392">
            <w:pPr>
              <w:pStyle w:val="ConsPlusNormal"/>
              <w:ind w:firstLine="283"/>
              <w:jc w:val="both"/>
            </w:pPr>
            <w:r>
              <w:t>е) установленные и подключенные к соответствующим внутриквартирным инженерным сетям:</w:t>
            </w:r>
          </w:p>
          <w:p w:rsidR="00F37392" w:rsidRDefault="00F37392">
            <w:pPr>
              <w:pStyle w:val="ConsPlusNormal"/>
              <w:ind w:firstLine="283"/>
              <w:jc w:val="both"/>
            </w:pPr>
            <w:r>
              <w:t>звонковую сигнализацию (в соответствии с проектной документацией);</w:t>
            </w:r>
          </w:p>
          <w:p w:rsidR="00F37392" w:rsidRDefault="00F37392">
            <w:pPr>
              <w:pStyle w:val="ConsPlusNormal"/>
              <w:ind w:firstLine="283"/>
              <w:jc w:val="both"/>
            </w:pPr>
            <w:r>
              <w:t>мойку со смесителем и сифоном;</w:t>
            </w:r>
          </w:p>
          <w:p w:rsidR="00F37392" w:rsidRDefault="00F37392">
            <w:pPr>
              <w:pStyle w:val="ConsPlusNormal"/>
              <w:ind w:firstLine="283"/>
              <w:jc w:val="both"/>
            </w:pPr>
            <w:r>
              <w:t>умывальник со смесителем и сифоном;</w:t>
            </w:r>
          </w:p>
          <w:p w:rsidR="00F37392" w:rsidRDefault="00F37392">
            <w:pPr>
              <w:pStyle w:val="ConsPlusNormal"/>
              <w:ind w:firstLine="283"/>
              <w:jc w:val="both"/>
            </w:pPr>
            <w:r>
              <w:t>унитаз с сиденьем и сливным бачком;</w:t>
            </w:r>
          </w:p>
          <w:p w:rsidR="00F37392" w:rsidRDefault="00F37392">
            <w:pPr>
              <w:pStyle w:val="ConsPlusNormal"/>
              <w:ind w:firstLine="283"/>
              <w:jc w:val="both"/>
            </w:pPr>
            <w:r>
              <w:t>ванну с заземлением, со смесителем и сифоном;</w:t>
            </w:r>
          </w:p>
          <w:p w:rsidR="00F37392" w:rsidRDefault="00F37392">
            <w:pPr>
              <w:pStyle w:val="ConsPlusNormal"/>
              <w:ind w:firstLine="283"/>
              <w:jc w:val="both"/>
            </w:pPr>
            <w:r>
              <w:t xml:space="preserve">одно-, двухклавишные </w:t>
            </w:r>
            <w:proofErr w:type="spellStart"/>
            <w:r>
              <w:t>электровыключатели</w:t>
            </w:r>
            <w:proofErr w:type="spellEnd"/>
            <w:r>
              <w:t>;</w:t>
            </w:r>
          </w:p>
          <w:p w:rsidR="00F37392" w:rsidRDefault="00F37392">
            <w:pPr>
              <w:pStyle w:val="ConsPlusNormal"/>
              <w:ind w:firstLine="283"/>
              <w:jc w:val="both"/>
            </w:pPr>
            <w:proofErr w:type="spellStart"/>
            <w:r>
              <w:t>электророзетки</w:t>
            </w:r>
            <w:proofErr w:type="spellEnd"/>
            <w:r>
              <w:t>;</w:t>
            </w:r>
          </w:p>
          <w:p w:rsidR="00F37392" w:rsidRDefault="00F37392">
            <w:pPr>
              <w:pStyle w:val="ConsPlusNormal"/>
              <w:ind w:firstLine="283"/>
              <w:jc w:val="both"/>
            </w:pPr>
            <w:r>
              <w:t>выпуски электропроводки и патроны во всех помещениях квартиры;</w:t>
            </w:r>
          </w:p>
          <w:p w:rsidR="00F37392" w:rsidRDefault="00F37392">
            <w:pPr>
              <w:pStyle w:val="ConsPlusNormal"/>
              <w:ind w:firstLine="283"/>
              <w:jc w:val="both"/>
            </w:pPr>
            <w:r>
              <w:t>газовую или электрическую плиту (в соответствии с проектным решением);</w:t>
            </w:r>
          </w:p>
          <w:p w:rsidR="00F37392" w:rsidRDefault="00F37392">
            <w:pPr>
              <w:pStyle w:val="ConsPlusNormal"/>
              <w:ind w:firstLine="283"/>
              <w:jc w:val="both"/>
            </w:pPr>
            <w:r>
              <w:t>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F37392" w:rsidRDefault="00F37392">
            <w:pPr>
              <w:pStyle w:val="ConsPlusNormal"/>
              <w:ind w:firstLine="283"/>
              <w:jc w:val="both"/>
            </w:pPr>
            <w:r>
              <w:t>в)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F37392" w:rsidRDefault="00F37392">
            <w:pPr>
              <w:pStyle w:val="ConsPlusNormal"/>
              <w:ind w:firstLine="283"/>
              <w:jc w:val="both"/>
            </w:pPr>
            <w: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F37392" w:rsidRDefault="00F37392">
            <w:pPr>
              <w:pStyle w:val="ConsPlusNormal"/>
              <w:ind w:firstLine="283"/>
              <w:jc w:val="both"/>
            </w:pPr>
            <w: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F37392">
        <w:tc>
          <w:tcPr>
            <w:tcW w:w="614" w:type="dxa"/>
          </w:tcPr>
          <w:p w:rsidR="00F37392" w:rsidRDefault="00F37392">
            <w:pPr>
              <w:pStyle w:val="ConsPlusNormal"/>
              <w:jc w:val="center"/>
            </w:pPr>
            <w:r>
              <w:t>4</w:t>
            </w:r>
          </w:p>
        </w:tc>
        <w:tc>
          <w:tcPr>
            <w:tcW w:w="2041" w:type="dxa"/>
          </w:tcPr>
          <w:p w:rsidR="00F37392" w:rsidRDefault="00F37392">
            <w:pPr>
              <w:pStyle w:val="ConsPlusNormal"/>
            </w:pPr>
            <w:r>
              <w:t>Материалы и оборудование</w:t>
            </w:r>
          </w:p>
        </w:tc>
        <w:tc>
          <w:tcPr>
            <w:tcW w:w="6406" w:type="dxa"/>
          </w:tcPr>
          <w:p w:rsidR="00F37392" w:rsidRDefault="00F37392">
            <w:pPr>
              <w:pStyle w:val="ConsPlusNormal"/>
              <w:ind w:firstLine="283"/>
              <w:jc w:val="both"/>
            </w:pPr>
            <w: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rsidR="00F37392" w:rsidRDefault="00F37392">
            <w:pPr>
              <w:pStyle w:val="ConsPlusNormal"/>
              <w:ind w:firstLine="283"/>
              <w:jc w:val="both"/>
            </w:pPr>
            <w:r>
              <w:t xml:space="preserve">Строительство рекомендуется осуществлять с применением материалов и оборудования, обеспечивающих соответствие </w:t>
            </w:r>
            <w:r>
              <w:lastRenderedPageBreak/>
              <w:t>жилого помещения требованиям проектной документации.</w:t>
            </w:r>
          </w:p>
          <w:p w:rsidR="00F37392" w:rsidRDefault="00F37392">
            <w:pPr>
              <w:pStyle w:val="ConsPlusNormal"/>
              <w:ind w:firstLine="283"/>
              <w:jc w:val="both"/>
            </w:pPr>
            <w: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с целью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F37392">
        <w:tc>
          <w:tcPr>
            <w:tcW w:w="614" w:type="dxa"/>
          </w:tcPr>
          <w:p w:rsidR="00F37392" w:rsidRDefault="00F37392">
            <w:pPr>
              <w:pStyle w:val="ConsPlusNormal"/>
              <w:jc w:val="center"/>
            </w:pPr>
            <w:r>
              <w:lastRenderedPageBreak/>
              <w:t>5</w:t>
            </w:r>
          </w:p>
        </w:tc>
        <w:tc>
          <w:tcPr>
            <w:tcW w:w="2041" w:type="dxa"/>
          </w:tcPr>
          <w:p w:rsidR="00F37392" w:rsidRDefault="00F37392">
            <w:pPr>
              <w:pStyle w:val="ConsPlusNormal"/>
            </w:pPr>
            <w:proofErr w:type="spellStart"/>
            <w:r>
              <w:t>Энергоэффективность</w:t>
            </w:r>
            <w:proofErr w:type="spellEnd"/>
            <w:r>
              <w:t xml:space="preserve"> дома</w:t>
            </w:r>
          </w:p>
        </w:tc>
        <w:tc>
          <w:tcPr>
            <w:tcW w:w="6406" w:type="dxa"/>
          </w:tcPr>
          <w:p w:rsidR="00F37392" w:rsidRDefault="00F37392">
            <w:pPr>
              <w:pStyle w:val="ConsPlusNormal"/>
              <w:ind w:firstLine="283"/>
              <w:jc w:val="both"/>
            </w:pPr>
            <w:r>
              <w:t xml:space="preserve">Рекомендуется предусматривать класс энергетической эффективности дома не ниже "В" согласно </w:t>
            </w:r>
            <w:hyperlink r:id="rId18" w:history="1">
              <w:r>
                <w:rPr>
                  <w:color w:val="0000FF"/>
                </w:rPr>
                <w:t>Правилам</w:t>
              </w:r>
            </w:hyperlink>
            <w:r>
              <w:t xml:space="preserve"> определения класса энергетической эффективности многоквартирных домов, утвержденным приказом Минстроя России от 6 июня 2016 г. N 399/пр.</w:t>
            </w:r>
          </w:p>
          <w:p w:rsidR="00F37392" w:rsidRDefault="00F37392">
            <w:pPr>
              <w:pStyle w:val="ConsPlusNormal"/>
              <w:ind w:firstLine="283"/>
              <w:jc w:val="both"/>
            </w:pPr>
            <w:r>
              <w:t xml:space="preserve">Рекомендуется предусматривать следующие мероприятия, направленные на повышение </w:t>
            </w:r>
            <w:proofErr w:type="spellStart"/>
            <w:r>
              <w:t>энергоэффективности</w:t>
            </w:r>
            <w:proofErr w:type="spellEnd"/>
            <w:r>
              <w:t xml:space="preserve"> дома:</w:t>
            </w:r>
          </w:p>
          <w:p w:rsidR="00F37392" w:rsidRDefault="00F37392">
            <w:pPr>
              <w:pStyle w:val="ConsPlusNormal"/>
              <w:ind w:firstLine="283"/>
              <w:jc w:val="both"/>
            </w:pPr>
            <w:r>
              <w:t xml:space="preserve">предъявлять к оконным блокам в квартирах и в помещениях общего пользования дополнительные требования, указанные в </w:t>
            </w:r>
            <w:hyperlink w:anchor="P82" w:history="1">
              <w:r>
                <w:rPr>
                  <w:color w:val="0000FF"/>
                </w:rPr>
                <w:t>пункте 3</w:t>
              </w:r>
            </w:hyperlink>
            <w:r>
              <w:t xml:space="preserve"> настоящего Перечня;</w:t>
            </w:r>
          </w:p>
          <w:p w:rsidR="00F37392" w:rsidRDefault="00F37392">
            <w:pPr>
              <w:pStyle w:val="ConsPlusNormal"/>
              <w:ind w:firstLine="283"/>
              <w:jc w:val="both"/>
            </w:pPr>
            <w:r>
              <w:t>производить установку в помещениях общего пользования, на лестничных клетках, перед входом в подъезды светодиодных светильников с датчиками движения и освещенности;</w:t>
            </w:r>
          </w:p>
          <w:p w:rsidR="00F37392" w:rsidRDefault="00F37392">
            <w:pPr>
              <w:pStyle w:val="ConsPlusNormal"/>
              <w:ind w:firstLine="283"/>
              <w:jc w:val="both"/>
            </w:pPr>
            <w:r>
              <w:t>проводить освещение придомовой территории с использованием светодиодных светильников и датчиков освещенности;</w:t>
            </w:r>
          </w:p>
          <w:p w:rsidR="00F37392" w:rsidRDefault="00F37392">
            <w:pPr>
              <w:pStyle w:val="ConsPlusNormal"/>
              <w:ind w:firstLine="283"/>
              <w:jc w:val="both"/>
            </w:pPr>
            <w:r>
              <w:t>выполнять теплоизоляцию подвального (цокольного) и чердачного перекрытий (в соответствии с проектной документацией);</w:t>
            </w:r>
          </w:p>
          <w:p w:rsidR="00F37392" w:rsidRDefault="00F37392">
            <w:pPr>
              <w:pStyle w:val="ConsPlusNormal"/>
              <w:ind w:firstLine="283"/>
              <w:jc w:val="both"/>
            </w:pPr>
            <w:r>
              <w:t>проводить установку приборов учета горячего и холодного водоснабжения, электроэнергии, газа и других, предусмотренных в проектной документации;</w:t>
            </w:r>
          </w:p>
          <w:p w:rsidR="00F37392" w:rsidRDefault="00F37392">
            <w:pPr>
              <w:pStyle w:val="ConsPlusNormal"/>
              <w:ind w:firstLine="283"/>
              <w:jc w:val="both"/>
            </w:pPr>
            <w:r>
              <w:t>выполнять установку радиаторов отопления с терморегуляторами (при технологической возможности в соответствии с проектной документацией);</w:t>
            </w:r>
          </w:p>
          <w:p w:rsidR="00F37392" w:rsidRDefault="00F37392">
            <w:pPr>
              <w:pStyle w:val="ConsPlusNormal"/>
              <w:ind w:firstLine="283"/>
              <w:jc w:val="both"/>
            </w:pPr>
            <w:r>
              <w:t xml:space="preserve">проводить устройство входных дверей в подъезды дома с утеплением и оборудованием </w:t>
            </w:r>
            <w:proofErr w:type="spellStart"/>
            <w:r>
              <w:t>автодоводчиками</w:t>
            </w:r>
            <w:proofErr w:type="spellEnd"/>
            <w:r>
              <w:t>;</w:t>
            </w:r>
          </w:p>
          <w:p w:rsidR="00F37392" w:rsidRDefault="00F37392">
            <w:pPr>
              <w:pStyle w:val="ConsPlusNormal"/>
              <w:ind w:firstLine="283"/>
              <w:jc w:val="both"/>
            </w:pPr>
            <w: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t>автодоводчиками</w:t>
            </w:r>
            <w:proofErr w:type="spellEnd"/>
            <w:r>
              <w:t>.</w:t>
            </w:r>
          </w:p>
          <w:p w:rsidR="00F37392" w:rsidRDefault="00F37392">
            <w:pPr>
              <w:pStyle w:val="ConsPlusNormal"/>
              <w:ind w:firstLine="283"/>
              <w:jc w:val="both"/>
            </w:pPr>
            <w:r>
              <w:t xml:space="preserve">Рекомендуется обеспечить наличие на фасаде дома указателя класса энергетической эффективности дома в соответствии с </w:t>
            </w:r>
            <w:hyperlink r:id="rId19" w:history="1">
              <w:r>
                <w:rPr>
                  <w:color w:val="0000FF"/>
                </w:rPr>
                <w:t>разделом III</w:t>
              </w:r>
            </w:hyperlink>
            <w:r>
              <w:t xml:space="preserve"> Правил определения классов энергетической эффективности многоквартирных домов, утвержденных приказом Минстроя России от 6 июня 2016 г. N 399/</w:t>
            </w:r>
            <w:proofErr w:type="spellStart"/>
            <w:r>
              <w:t>пр</w:t>
            </w:r>
            <w:proofErr w:type="spellEnd"/>
          </w:p>
        </w:tc>
      </w:tr>
      <w:tr w:rsidR="00F37392">
        <w:tc>
          <w:tcPr>
            <w:tcW w:w="614" w:type="dxa"/>
          </w:tcPr>
          <w:p w:rsidR="00F37392" w:rsidRDefault="00F37392">
            <w:pPr>
              <w:pStyle w:val="ConsPlusNormal"/>
              <w:jc w:val="center"/>
            </w:pPr>
            <w:r>
              <w:t>6</w:t>
            </w:r>
          </w:p>
        </w:tc>
        <w:tc>
          <w:tcPr>
            <w:tcW w:w="2041" w:type="dxa"/>
          </w:tcPr>
          <w:p w:rsidR="00F37392" w:rsidRDefault="00F37392">
            <w:pPr>
              <w:pStyle w:val="ConsPlusNormal"/>
            </w:pPr>
            <w:r>
              <w:t>Эксплуатационная документация дома</w:t>
            </w:r>
          </w:p>
        </w:tc>
        <w:tc>
          <w:tcPr>
            <w:tcW w:w="6406" w:type="dxa"/>
          </w:tcPr>
          <w:p w:rsidR="00F37392" w:rsidRDefault="00F37392">
            <w:pPr>
              <w:pStyle w:val="ConsPlusNormal"/>
              <w:ind w:firstLine="283"/>
              <w:jc w:val="both"/>
            </w:pPr>
            <w:r>
              <w:t xml:space="preserve">Наличие паспортов и инструкций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w:t>
            </w:r>
            <w:r>
              <w:lastRenderedPageBreak/>
              <w:t xml:space="preserve">соответствующих документов (копий документов), предусмотренных </w:t>
            </w:r>
            <w:hyperlink r:id="rId20" w:history="1">
              <w:r>
                <w:rPr>
                  <w:color w:val="0000FF"/>
                </w:rPr>
                <w:t>пунктами 24</w:t>
              </w:r>
            </w:hyperlink>
            <w:r>
              <w:t xml:space="preserve"> и </w:t>
            </w:r>
            <w:hyperlink r:id="rId21" w:history="1">
              <w:r>
                <w:rPr>
                  <w:color w:val="0000FF"/>
                </w:rPr>
                <w:t>26</w:t>
              </w:r>
            </w:hyperlink>
            <w: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включая Инструкцию по эксплуатации многоквартирного дома, выполненную в соответствии с Градостроительным </w:t>
            </w:r>
            <w:hyperlink r:id="rId22" w:history="1">
              <w:r>
                <w:rPr>
                  <w:color w:val="0000FF"/>
                </w:rPr>
                <w:t>кодексом</w:t>
              </w:r>
            </w:hyperlink>
            <w:r>
              <w:t xml:space="preserve"> Российской Федерации и СП 255.1325800 "Здания и сооружения. Правила эксплуатации. Общие положения" (в соответствии с проектной документацией).</w:t>
            </w:r>
          </w:p>
          <w:p w:rsidR="00F37392" w:rsidRDefault="00F37392">
            <w:pPr>
              <w:pStyle w:val="ConsPlusNormal"/>
              <w:ind w:firstLine="283"/>
              <w:jc w:val="both"/>
            </w:pPr>
            <w:r>
              <w:t>Наличие инструкций по эксплуатации внутриквартирного инженерного оборудования.</w:t>
            </w:r>
          </w:p>
          <w:p w:rsidR="00F37392" w:rsidRDefault="00F37392">
            <w:pPr>
              <w:pStyle w:val="ConsPlusNormal"/>
              <w:ind w:firstLine="283"/>
              <w:jc w:val="both"/>
            </w:pPr>
            <w:r>
              <w:t>Комплекты инструкций по эксплуатации внутриквартирного инженерного оборудования подлежат передаче заказчику - администрации соответствующего муниципального образования Краснодарского края</w:t>
            </w:r>
          </w:p>
        </w:tc>
      </w:tr>
    </w:tbl>
    <w:p w:rsidR="00F37392" w:rsidRDefault="00F37392">
      <w:pPr>
        <w:pStyle w:val="ConsPlusNormal"/>
        <w:jc w:val="both"/>
      </w:pPr>
    </w:p>
    <w:p w:rsidR="00F37392" w:rsidRDefault="00F37392">
      <w:pPr>
        <w:pStyle w:val="ConsPlusNormal"/>
        <w:jc w:val="right"/>
      </w:pPr>
      <w:r>
        <w:t>Заместитель министра</w:t>
      </w:r>
    </w:p>
    <w:p w:rsidR="00F37392" w:rsidRDefault="00F37392">
      <w:pPr>
        <w:pStyle w:val="ConsPlusNormal"/>
        <w:jc w:val="right"/>
      </w:pPr>
      <w:r>
        <w:t>топливно-энергетического комплекса</w:t>
      </w:r>
    </w:p>
    <w:p w:rsidR="00F37392" w:rsidRDefault="00F37392">
      <w:pPr>
        <w:pStyle w:val="ConsPlusNormal"/>
        <w:jc w:val="right"/>
      </w:pPr>
      <w:r>
        <w:t>и жилищно-коммунального хозяйства</w:t>
      </w:r>
    </w:p>
    <w:p w:rsidR="00F37392" w:rsidRDefault="00F37392">
      <w:pPr>
        <w:pStyle w:val="ConsPlusNormal"/>
        <w:jc w:val="right"/>
      </w:pPr>
      <w:r>
        <w:t>Краснодарского края</w:t>
      </w:r>
    </w:p>
    <w:p w:rsidR="00F37392" w:rsidRDefault="00F37392">
      <w:pPr>
        <w:pStyle w:val="ConsPlusNormal"/>
        <w:jc w:val="right"/>
      </w:pPr>
      <w:r>
        <w:t>В.А.ЯКУШЕВ</w:t>
      </w:r>
    </w:p>
    <w:p w:rsidR="00F37392" w:rsidRDefault="00F37392">
      <w:pPr>
        <w:pStyle w:val="ConsPlusNormal"/>
        <w:jc w:val="both"/>
      </w:pPr>
    </w:p>
    <w:p w:rsidR="00F37392" w:rsidRDefault="00F37392">
      <w:pPr>
        <w:pStyle w:val="ConsPlusNormal"/>
      </w:pPr>
      <w:hyperlink r:id="rId23" w:history="1">
        <w:r>
          <w:rPr>
            <w:i/>
            <w:color w:val="0000FF"/>
          </w:rPr>
          <w:br/>
          <w:t>Постановление главы администрации (губернатора) Краснодарского края от 10.04.2019 N 186 (ред. от 30.03.2021) "Об утверждении адресной программы Краснодарского края "Переселение граждан из аварийного жилищного фонда на 2019 - 2023 годы" {</w:t>
        </w:r>
        <w:proofErr w:type="spellStart"/>
        <w:r>
          <w:rPr>
            <w:i/>
            <w:color w:val="0000FF"/>
          </w:rPr>
          <w:t>КонсультантПлюс</w:t>
        </w:r>
        <w:proofErr w:type="spellEnd"/>
        <w:r>
          <w:rPr>
            <w:i/>
            <w:color w:val="0000FF"/>
          </w:rPr>
          <w:t>}</w:t>
        </w:r>
      </w:hyperlink>
      <w:r>
        <w:br/>
      </w:r>
    </w:p>
    <w:p w:rsidR="003F2948" w:rsidRDefault="003F2948">
      <w:bookmarkStart w:id="1" w:name="_GoBack"/>
      <w:bookmarkEnd w:id="1"/>
    </w:p>
    <w:sectPr w:rsidR="003F2948" w:rsidSect="00D10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92"/>
    <w:rsid w:val="003F2948"/>
    <w:rsid w:val="00F3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9896E-9C52-431E-86C3-5C653F7C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3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739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A9E860363CCA3386A8B488FACF3BDEDB8EED31867A1A93FD1F4D465E240058DE811E209D455E3AFDA7EA526EKD4CL" TargetMode="External"/><Relationship Id="rId13" Type="http://schemas.openxmlformats.org/officeDocument/2006/relationships/hyperlink" Target="consultantplus://offline/ref=F8A9E860363CCA3386A8B488FACF3BDED889E834837E1A93FD1F4D465E240058CC81462C9F4D403AFDB2BC032888E5A5CA4460226636ED6FK64DL" TargetMode="External"/><Relationship Id="rId18" Type="http://schemas.openxmlformats.org/officeDocument/2006/relationships/hyperlink" Target="consultantplus://offline/ref=F8A9E860363CCA3386A8B488FACF3BDEDB8CEE378C721A93FD1F4D465E240058CC81462C9F4D403AFFB2BC032888E5A5CA4460226636ED6FK64DL" TargetMode="External"/><Relationship Id="rId3" Type="http://schemas.openxmlformats.org/officeDocument/2006/relationships/webSettings" Target="webSettings.xml"/><Relationship Id="rId21" Type="http://schemas.openxmlformats.org/officeDocument/2006/relationships/hyperlink" Target="consultantplus://offline/ref=F8A9E860363CCA3386A8B488FACF3BDEDA89EB3686721A93FD1F4D465E240058CC81462C9F4D4032FDB2BC032888E5A5CA4460226636ED6FK64DL" TargetMode="External"/><Relationship Id="rId7" Type="http://schemas.openxmlformats.org/officeDocument/2006/relationships/hyperlink" Target="consultantplus://offline/ref=F8A9E860363CCA3386A8B488FACF3BDEDA85ED31857A1A93FD1F4D465E240058DE811E209D455E3AFDA7EA526EKD4CL" TargetMode="External"/><Relationship Id="rId12" Type="http://schemas.openxmlformats.org/officeDocument/2006/relationships/hyperlink" Target="consultantplus://offline/ref=F8A9E860363CCA3386A8B488FACF3BDEDB8EED3185731A93FD1F4D465E240058DE811E209D455E3AFDA7EA526EKD4CL" TargetMode="External"/><Relationship Id="rId17" Type="http://schemas.openxmlformats.org/officeDocument/2006/relationships/hyperlink" Target="consultantplus://offline/ref=F8A9E860363CCA3386A8B488FACF3BDED88DEC35817A1A93FD1F4D465E240058CC81462C9F4D403AFEB2BC032888E5A5CA4460226636ED6FK64D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8A9E860363CCA3386A8B488FACF3BDEDB8AEA30867C1A93FD1F4D465E240058DE811E209D455E3AFDA7EA526EKD4CL" TargetMode="External"/><Relationship Id="rId20" Type="http://schemas.openxmlformats.org/officeDocument/2006/relationships/hyperlink" Target="consultantplus://offline/ref=F8A9E860363CCA3386A8B488FACF3BDEDA89EB3686721A93FD1F4D465E240058CC81462C9F4D4033FCB2BC032888E5A5CA4460226636ED6FK64DL" TargetMode="External"/><Relationship Id="rId1" Type="http://schemas.openxmlformats.org/officeDocument/2006/relationships/styles" Target="styles.xml"/><Relationship Id="rId6" Type="http://schemas.openxmlformats.org/officeDocument/2006/relationships/hyperlink" Target="consultantplus://offline/ref=F8A9E860363CCA3386A8B488FACF3BDEDA84EE338C791A93FD1F4D465E240058DE811E209D455E3AFDA7EA526EKD4CL" TargetMode="External"/><Relationship Id="rId11" Type="http://schemas.openxmlformats.org/officeDocument/2006/relationships/hyperlink" Target="consultantplus://offline/ref=F8A9E860363CCA3386A8B488FACF3BDEDB8AE436847F1A93FD1F4D465E240058DE811E209D455E3AFDA7EA526EKD4CL" TargetMode="External"/><Relationship Id="rId24" Type="http://schemas.openxmlformats.org/officeDocument/2006/relationships/fontTable" Target="fontTable.xml"/><Relationship Id="rId5" Type="http://schemas.openxmlformats.org/officeDocument/2006/relationships/hyperlink" Target="consultantplus://offline/ref=F8A9E860363CCA3386A8B488FACF3BDED888E53085721A93FD1F4D465E240058DE811E209D455E3AFDA7EA526EKD4CL" TargetMode="External"/><Relationship Id="rId15" Type="http://schemas.openxmlformats.org/officeDocument/2006/relationships/hyperlink" Target="consultantplus://offline/ref=F8A9E860363CCA3386A8B488FACF3BDEDB8BE83185721A93FD1F4D465E240058DE811E209D455E3AFDA7EA526EKD4CL" TargetMode="External"/><Relationship Id="rId23" Type="http://schemas.openxmlformats.org/officeDocument/2006/relationships/hyperlink" Target="consultantplus://offline/ref=F8A9E860363CCA3386A8AA85ECA364D4DE87B33A867B12C0A04F4B110174060D8CC14079DC094D3AFDB9E8526CDDEBA5CA5135733C61E06F64CAD69085F1097AKC48L" TargetMode="External"/><Relationship Id="rId10" Type="http://schemas.openxmlformats.org/officeDocument/2006/relationships/hyperlink" Target="consultantplus://offline/ref=F8A9E860363CCA3386A8B488FACF3BDEDB8FEA338C721A93FD1F4D465E240058DE811E209D455E3AFDA7EA526EKD4CL" TargetMode="External"/><Relationship Id="rId19" Type="http://schemas.openxmlformats.org/officeDocument/2006/relationships/hyperlink" Target="consultantplus://offline/ref=F8A9E860363CCA3386A8B488FACF3BDEDB8CEE378C721A93FD1F4D465E240058CC81462C9F4D413CFFB2BC032888E5A5CA4460226636ED6FK64DL" TargetMode="External"/><Relationship Id="rId4" Type="http://schemas.openxmlformats.org/officeDocument/2006/relationships/hyperlink" Target="consultantplus://offline/ref=F8A9E860363CCA3386A8AA85ECA364D4DE87B33A867B12C6A0434B110174060D8CC14079DC094D3AFDBDEC5469D6BCF6860F6C20702AEC6D72D6D792K94AL" TargetMode="External"/><Relationship Id="rId9" Type="http://schemas.openxmlformats.org/officeDocument/2006/relationships/hyperlink" Target="consultantplus://offline/ref=F8A9E860363CCA3386A8B488FACF3BDEDB8FEA338D781A93FD1F4D465E240058DE811E209D455E3AFDA7EA526EKD4CL" TargetMode="External"/><Relationship Id="rId14" Type="http://schemas.openxmlformats.org/officeDocument/2006/relationships/hyperlink" Target="consultantplus://offline/ref=F8A9E860363CCA3386A8B488FACF3BDEDA89EC338D7F1A93FD1F4D465E240058CC81462C9F4D403BFFB2BC032888E5A5CA4460226636ED6FK64DL" TargetMode="External"/><Relationship Id="rId22" Type="http://schemas.openxmlformats.org/officeDocument/2006/relationships/hyperlink" Target="consultantplus://offline/ref=F8A9E860363CCA3386A8B488FACF3BDEDA85ED37807C1A93FD1F4D465E240058DE811E209D455E3AFDA7EA526EKD4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2781</Words>
  <Characters>15855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klus</dc:creator>
  <cp:keywords/>
  <dc:description/>
  <cp:lastModifiedBy>klus</cp:lastModifiedBy>
  <cp:revision>1</cp:revision>
  <dcterms:created xsi:type="dcterms:W3CDTF">2021-10-28T11:56:00Z</dcterms:created>
  <dcterms:modified xsi:type="dcterms:W3CDTF">2021-10-28T11:57:00Z</dcterms:modified>
</cp:coreProperties>
</file>