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589F3D34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F1FF6">
        <w:rPr>
          <w:rFonts w:ascii="Times New Roman" w:hAnsi="Times New Roman" w:cs="Times New Roman"/>
          <w:sz w:val="28"/>
          <w:szCs w:val="28"/>
        </w:rPr>
        <w:t xml:space="preserve"> делами ад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0C2B924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 xml:space="preserve"> район от 31 декабря 2014 г. № 2887 «Об утверждении муниципальной программы «Обеспечение деятельности казенных учреждений»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701B2397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 xml:space="preserve"> район от 31 декабря 2014 г. № 2887 «Об утверждении муниципальной программы «Обеспечение деятельности казенных учреждений»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6A9C19BF" w:rsidR="006F5FA6" w:rsidRDefault="000F1FF6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0F1FF6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8E39-61EC-40DA-BC03-156A0FC5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14</cp:revision>
  <cp:lastPrinted>2024-11-26T08:22:00Z</cp:lastPrinted>
  <dcterms:created xsi:type="dcterms:W3CDTF">2024-11-19T06:00:00Z</dcterms:created>
  <dcterms:modified xsi:type="dcterms:W3CDTF">2024-11-29T06:19:00Z</dcterms:modified>
</cp:coreProperties>
</file>